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彩虹粗仿宋" w:hAnsi="宋体" w:eastAsia="彩虹粗仿宋" w:cs="Arial"/>
          <w:sz w:val="24"/>
        </w:rPr>
      </w:pPr>
      <w:bookmarkStart w:id="100" w:name="_GoBack"/>
      <w:bookmarkEnd w:id="100"/>
    </w:p>
    <w:p>
      <w:pPr>
        <w:adjustRightInd w:val="0"/>
        <w:snapToGrid w:val="0"/>
        <w:jc w:val="center"/>
        <w:rPr>
          <w:rFonts w:ascii="彩虹粗仿宋" w:hAnsi="宋体" w:eastAsia="彩虹粗仿宋" w:cs="Arial"/>
          <w:sz w:val="24"/>
        </w:rPr>
      </w:pPr>
    </w:p>
    <w:p>
      <w:pPr>
        <w:adjustRightInd w:val="0"/>
        <w:snapToGrid w:val="0"/>
        <w:jc w:val="center"/>
        <w:rPr>
          <w:rFonts w:ascii="彩虹粗仿宋" w:hAnsi="宋体" w:eastAsia="彩虹粗仿宋" w:cs="Arial"/>
          <w:sz w:val="24"/>
        </w:rPr>
      </w:pPr>
    </w:p>
    <w:p>
      <w:pPr>
        <w:adjustRightInd w:val="0"/>
        <w:snapToGrid w:val="0"/>
        <w:jc w:val="center"/>
        <w:rPr>
          <w:rFonts w:ascii="彩虹粗仿宋" w:hAnsi="宋体" w:eastAsia="彩虹粗仿宋" w:cs="Arial"/>
          <w:sz w:val="24"/>
        </w:rPr>
      </w:pPr>
    </w:p>
    <w:p>
      <w:pPr>
        <w:adjustRightInd w:val="0"/>
        <w:snapToGrid w:val="0"/>
        <w:jc w:val="center"/>
        <w:rPr>
          <w:rFonts w:ascii="彩虹粗仿宋" w:hAnsi="宋体" w:eastAsia="彩虹粗仿宋" w:cs="Arial"/>
          <w:sz w:val="24"/>
        </w:rPr>
      </w:pPr>
    </w:p>
    <w:p>
      <w:pPr>
        <w:adjustRightInd w:val="0"/>
        <w:snapToGrid w:val="0"/>
        <w:jc w:val="center"/>
        <w:rPr>
          <w:rFonts w:ascii="彩虹粗仿宋" w:hAnsi="宋体" w:eastAsia="彩虹粗仿宋" w:cs="Arial"/>
          <w:sz w:val="24"/>
        </w:rPr>
      </w:pPr>
    </w:p>
    <w:p>
      <w:pPr>
        <w:adjustRightInd w:val="0"/>
        <w:snapToGrid w:val="0"/>
        <w:jc w:val="center"/>
        <w:rPr>
          <w:rFonts w:ascii="彩虹粗仿宋" w:hAnsi="宋体" w:eastAsia="彩虹粗仿宋" w:cs="Arial"/>
          <w:sz w:val="24"/>
        </w:rPr>
      </w:pPr>
    </w:p>
    <w:p>
      <w:pPr>
        <w:adjustRightInd w:val="0"/>
        <w:snapToGrid w:val="0"/>
        <w:jc w:val="center"/>
        <w:rPr>
          <w:rFonts w:ascii="彩虹粗仿宋" w:hAnsi="宋体" w:eastAsia="彩虹粗仿宋" w:cs="Arial"/>
          <w:sz w:val="24"/>
        </w:rPr>
      </w:pPr>
    </w:p>
    <w:p>
      <w:pPr>
        <w:adjustRightInd w:val="0"/>
        <w:snapToGrid w:val="0"/>
        <w:jc w:val="center"/>
        <w:rPr>
          <w:rFonts w:ascii="彩虹粗仿宋" w:hAnsi="宋体" w:eastAsia="彩虹粗仿宋" w:cs="Arial"/>
          <w:b/>
          <w:sz w:val="44"/>
        </w:rPr>
      </w:pPr>
      <w:r>
        <w:rPr>
          <w:rFonts w:hint="eastAsia" w:ascii="彩虹粗仿宋" w:hAnsi="宋体" w:eastAsia="彩虹粗仿宋" w:cs="Arial"/>
          <w:b/>
          <w:sz w:val="44"/>
        </w:rPr>
        <w:t>鹏华制造升级混合型证券投资基金</w:t>
      </w:r>
    </w:p>
    <w:p>
      <w:pPr>
        <w:adjustRightInd w:val="0"/>
        <w:snapToGrid w:val="0"/>
        <w:jc w:val="center"/>
        <w:rPr>
          <w:rFonts w:ascii="彩虹粗仿宋" w:hAnsi="宋体" w:eastAsia="彩虹粗仿宋" w:cs="Arial"/>
          <w:b/>
          <w:sz w:val="44"/>
        </w:rPr>
      </w:pPr>
      <w:r>
        <w:rPr>
          <w:rFonts w:hint="eastAsia" w:ascii="彩虹粗仿宋" w:hAnsi="宋体" w:eastAsia="彩虹粗仿宋" w:cs="Arial"/>
          <w:b/>
          <w:sz w:val="44"/>
        </w:rPr>
        <w:t>托管协议</w:t>
      </w:r>
    </w:p>
    <w:p>
      <w:pPr>
        <w:adjustRightInd w:val="0"/>
        <w:snapToGrid w:val="0"/>
        <w:jc w:val="center"/>
        <w:rPr>
          <w:rFonts w:ascii="彩虹粗仿宋" w:hAnsi="宋体" w:eastAsia="彩虹粗仿宋" w:cs="Arial"/>
          <w:b/>
          <w:sz w:val="44"/>
        </w:rPr>
      </w:pPr>
    </w:p>
    <w:p>
      <w:pPr>
        <w:adjustRightInd w:val="0"/>
        <w:snapToGrid w:val="0"/>
        <w:jc w:val="center"/>
        <w:rPr>
          <w:rFonts w:ascii="彩虹粗仿宋" w:hAnsi="宋体" w:eastAsia="彩虹粗仿宋" w:cs="Arial"/>
          <w:sz w:val="24"/>
        </w:rPr>
      </w:pPr>
    </w:p>
    <w:p>
      <w:pPr>
        <w:adjustRightInd w:val="0"/>
        <w:snapToGrid w:val="0"/>
        <w:jc w:val="center"/>
        <w:rPr>
          <w:rFonts w:ascii="彩虹粗仿宋" w:hAnsi="宋体" w:eastAsia="彩虹粗仿宋" w:cs="Arial"/>
          <w:sz w:val="24"/>
        </w:rPr>
      </w:pPr>
    </w:p>
    <w:p>
      <w:pPr>
        <w:adjustRightInd w:val="0"/>
        <w:snapToGrid w:val="0"/>
        <w:jc w:val="center"/>
        <w:rPr>
          <w:rFonts w:ascii="彩虹粗仿宋" w:hAnsi="宋体" w:eastAsia="彩虹粗仿宋" w:cs="Arial"/>
          <w:sz w:val="24"/>
        </w:rPr>
      </w:pPr>
    </w:p>
    <w:p>
      <w:pPr>
        <w:adjustRightInd w:val="0"/>
        <w:snapToGrid w:val="0"/>
        <w:jc w:val="center"/>
        <w:rPr>
          <w:rFonts w:ascii="彩虹粗仿宋" w:hAnsi="宋体" w:eastAsia="彩虹粗仿宋" w:cs="Arial"/>
          <w:sz w:val="24"/>
        </w:rPr>
      </w:pPr>
    </w:p>
    <w:p>
      <w:pPr>
        <w:adjustRightInd w:val="0"/>
        <w:snapToGrid w:val="0"/>
        <w:jc w:val="center"/>
        <w:rPr>
          <w:rFonts w:ascii="彩虹粗仿宋" w:hAnsi="宋体" w:eastAsia="彩虹粗仿宋" w:cs="Arial"/>
          <w:sz w:val="24"/>
        </w:rPr>
      </w:pPr>
    </w:p>
    <w:p>
      <w:pPr>
        <w:adjustRightInd w:val="0"/>
        <w:snapToGrid w:val="0"/>
        <w:jc w:val="center"/>
        <w:rPr>
          <w:rFonts w:ascii="彩虹粗仿宋" w:hAnsi="宋体" w:eastAsia="彩虹粗仿宋" w:cs="Arial"/>
          <w:sz w:val="24"/>
        </w:rPr>
      </w:pPr>
    </w:p>
    <w:p>
      <w:pPr>
        <w:adjustRightInd w:val="0"/>
        <w:snapToGrid w:val="0"/>
        <w:jc w:val="center"/>
        <w:rPr>
          <w:rFonts w:ascii="彩虹粗仿宋" w:hAnsi="宋体" w:eastAsia="彩虹粗仿宋" w:cs="Arial"/>
          <w:sz w:val="24"/>
        </w:rPr>
      </w:pPr>
    </w:p>
    <w:p>
      <w:pPr>
        <w:adjustRightInd w:val="0"/>
        <w:snapToGrid w:val="0"/>
        <w:jc w:val="center"/>
        <w:rPr>
          <w:rFonts w:ascii="彩虹粗仿宋" w:hAnsi="宋体" w:eastAsia="彩虹粗仿宋" w:cs="Arial"/>
          <w:sz w:val="24"/>
        </w:rPr>
      </w:pPr>
    </w:p>
    <w:p>
      <w:pPr>
        <w:adjustRightInd w:val="0"/>
        <w:snapToGrid w:val="0"/>
        <w:jc w:val="center"/>
        <w:rPr>
          <w:rFonts w:ascii="彩虹粗仿宋" w:hAnsi="宋体" w:eastAsia="彩虹粗仿宋" w:cs="Arial"/>
          <w:sz w:val="24"/>
        </w:rPr>
      </w:pPr>
    </w:p>
    <w:p>
      <w:pPr>
        <w:adjustRightInd w:val="0"/>
        <w:snapToGrid w:val="0"/>
        <w:jc w:val="center"/>
        <w:rPr>
          <w:rFonts w:ascii="彩虹粗仿宋" w:hAnsi="宋体" w:eastAsia="彩虹粗仿宋" w:cs="Arial"/>
          <w:sz w:val="24"/>
        </w:rPr>
      </w:pPr>
    </w:p>
    <w:p>
      <w:pPr>
        <w:adjustRightInd w:val="0"/>
        <w:snapToGrid w:val="0"/>
        <w:jc w:val="center"/>
        <w:rPr>
          <w:rFonts w:ascii="彩虹粗仿宋" w:hAnsi="宋体" w:eastAsia="彩虹粗仿宋" w:cs="Arial"/>
          <w:b/>
          <w:bCs/>
          <w:sz w:val="28"/>
        </w:rPr>
      </w:pPr>
      <w:r>
        <w:rPr>
          <w:rFonts w:hint="eastAsia" w:ascii="彩虹粗仿宋" w:hAnsi="宋体" w:eastAsia="彩虹粗仿宋" w:cs="Arial"/>
          <w:b/>
          <w:bCs/>
          <w:sz w:val="28"/>
        </w:rPr>
        <w:t>基金管理人：鹏华基金管理有限公司</w:t>
      </w:r>
    </w:p>
    <w:p>
      <w:pPr>
        <w:adjustRightInd w:val="0"/>
        <w:snapToGrid w:val="0"/>
        <w:jc w:val="center"/>
        <w:rPr>
          <w:rFonts w:ascii="彩虹粗仿宋" w:hAnsi="宋体" w:eastAsia="彩虹粗仿宋" w:cs="Arial"/>
          <w:b/>
          <w:bCs/>
          <w:sz w:val="28"/>
        </w:rPr>
      </w:pPr>
      <w:r>
        <w:rPr>
          <w:rFonts w:hint="eastAsia" w:ascii="彩虹粗仿宋" w:hAnsi="宋体" w:eastAsia="彩虹粗仿宋" w:cs="Arial"/>
          <w:b/>
          <w:bCs/>
          <w:sz w:val="28"/>
        </w:rPr>
        <w:t xml:space="preserve"> </w:t>
      </w:r>
      <w:r>
        <w:rPr>
          <w:rFonts w:ascii="彩虹粗仿宋" w:hAnsi="宋体" w:eastAsia="彩虹粗仿宋" w:cs="Arial"/>
          <w:b/>
          <w:bCs/>
          <w:sz w:val="28"/>
        </w:rPr>
        <w:t xml:space="preserve">   </w:t>
      </w:r>
      <w:r>
        <w:rPr>
          <w:rFonts w:hint="eastAsia" w:ascii="彩虹粗仿宋" w:hAnsi="宋体" w:eastAsia="彩虹粗仿宋" w:cs="Arial"/>
          <w:b/>
          <w:bCs/>
          <w:sz w:val="28"/>
        </w:rPr>
        <w:t>基金托管人：中国建设银行股份有限公司</w:t>
      </w:r>
    </w:p>
    <w:p>
      <w:pPr>
        <w:adjustRightInd w:val="0"/>
        <w:snapToGrid w:val="0"/>
        <w:jc w:val="center"/>
        <w:rPr>
          <w:rFonts w:ascii="彩虹粗仿宋" w:hAnsi="宋体" w:eastAsia="彩虹粗仿宋" w:cs="Arial"/>
          <w:sz w:val="24"/>
        </w:rPr>
      </w:pPr>
    </w:p>
    <w:p>
      <w:pPr>
        <w:adjustRightInd w:val="0"/>
        <w:snapToGrid w:val="0"/>
        <w:jc w:val="center"/>
        <w:rPr>
          <w:rFonts w:ascii="彩虹粗仿宋" w:hAnsi="宋体" w:eastAsia="彩虹粗仿宋" w:cs="Arial"/>
          <w:sz w:val="24"/>
        </w:rPr>
      </w:pPr>
    </w:p>
    <w:p>
      <w:pPr>
        <w:adjustRightInd w:val="0"/>
        <w:snapToGrid w:val="0"/>
        <w:jc w:val="center"/>
        <w:rPr>
          <w:rFonts w:ascii="彩虹粗仿宋" w:hAnsi="宋体" w:eastAsia="彩虹粗仿宋" w:cs="Arial"/>
          <w:sz w:val="24"/>
        </w:rPr>
      </w:pPr>
    </w:p>
    <w:p>
      <w:pPr>
        <w:adjustRightInd w:val="0"/>
        <w:snapToGrid w:val="0"/>
        <w:jc w:val="center"/>
        <w:rPr>
          <w:rFonts w:ascii="彩虹粗仿宋" w:hAnsi="宋体" w:eastAsia="彩虹粗仿宋" w:cs="Arial"/>
          <w:sz w:val="24"/>
        </w:rPr>
      </w:pPr>
    </w:p>
    <w:p>
      <w:pPr>
        <w:adjustRightInd w:val="0"/>
        <w:snapToGrid w:val="0"/>
        <w:jc w:val="center"/>
        <w:rPr>
          <w:rFonts w:ascii="彩虹粗仿宋" w:hAnsi="宋体" w:eastAsia="彩虹粗仿宋" w:cs="Arial"/>
          <w:sz w:val="24"/>
        </w:rPr>
      </w:pPr>
    </w:p>
    <w:p>
      <w:pPr>
        <w:adjustRightInd w:val="0"/>
        <w:snapToGrid w:val="0"/>
        <w:jc w:val="center"/>
        <w:rPr>
          <w:rFonts w:ascii="彩虹粗仿宋" w:hAnsi="宋体" w:eastAsia="彩虹粗仿宋" w:cs="Arial"/>
          <w:b/>
          <w:sz w:val="24"/>
        </w:rPr>
      </w:pPr>
      <w:r>
        <w:rPr>
          <w:rFonts w:hint="eastAsia" w:ascii="彩虹粗仿宋" w:hAnsi="宋体" w:eastAsia="彩虹粗仿宋" w:cs="Arial"/>
          <w:b/>
          <w:sz w:val="24"/>
        </w:rPr>
        <w:t xml:space="preserve"> </w:t>
      </w:r>
      <w:r>
        <w:rPr>
          <w:rFonts w:hint="eastAsia" w:ascii="彩虹粗仿宋" w:hAnsi="宋体" w:eastAsia="彩虹粗仿宋" w:cs="Arial"/>
          <w:b/>
          <w:sz w:val="28"/>
        </w:rPr>
        <w:t>二〇二五年九月</w:t>
      </w:r>
    </w:p>
    <w:p>
      <w:pPr>
        <w:widowControl/>
        <w:jc w:val="left"/>
        <w:rPr>
          <w:rFonts w:ascii="彩虹粗仿宋" w:hAnsi="宋体" w:eastAsia="彩虹粗仿宋" w:cs="Arial"/>
          <w:sz w:val="24"/>
        </w:rPr>
      </w:pPr>
      <w:r>
        <w:rPr>
          <w:rFonts w:ascii="彩虹粗仿宋" w:hAnsi="宋体" w:eastAsia="彩虹粗仿宋" w:cs="Arial"/>
          <w:sz w:val="24"/>
        </w:rPr>
        <w:br w:type="page"/>
      </w:r>
    </w:p>
    <w:p>
      <w:pPr>
        <w:jc w:val="center"/>
        <w:rPr>
          <w:rFonts w:ascii="彩虹粗仿宋" w:eastAsia="彩虹粗仿宋"/>
          <w:b/>
          <w:bCs/>
          <w:sz w:val="32"/>
        </w:rPr>
      </w:pPr>
      <w:r>
        <w:rPr>
          <w:rFonts w:hint="eastAsia" w:ascii="彩虹粗仿宋" w:eastAsia="彩虹粗仿宋"/>
          <w:b/>
          <w:bCs/>
          <w:sz w:val="32"/>
        </w:rPr>
        <w:t>目</w:t>
      </w:r>
      <w:r>
        <w:rPr>
          <w:rFonts w:ascii="彩虹粗仿宋" w:eastAsia="彩虹粗仿宋"/>
          <w:b/>
          <w:bCs/>
          <w:sz w:val="32"/>
        </w:rPr>
        <w:t xml:space="preserve">    </w:t>
      </w:r>
      <w:r>
        <w:rPr>
          <w:rFonts w:hint="eastAsia" w:ascii="彩虹粗仿宋" w:eastAsia="彩虹粗仿宋"/>
          <w:b/>
          <w:bCs/>
          <w:sz w:val="32"/>
        </w:rPr>
        <w:t>录</w:t>
      </w:r>
    </w:p>
    <w:p>
      <w:pPr>
        <w:pStyle w:val="19"/>
        <w:tabs>
          <w:tab w:val="right" w:leader="dot" w:pos="8494"/>
        </w:tabs>
        <w:rPr>
          <w:rFonts w:ascii="彩虹粗仿宋" w:hAnsi="宋体" w:eastAsia="彩虹粗仿宋"/>
          <w:sz w:val="28"/>
        </w:rPr>
      </w:pPr>
      <w:r>
        <w:rPr>
          <w:rFonts w:hint="eastAsia" w:ascii="彩虹粗仿宋" w:hAnsi="宋体" w:eastAsia="彩虹粗仿宋"/>
          <w:sz w:val="28"/>
        </w:rPr>
        <w:fldChar w:fldCharType="begin"/>
      </w:r>
      <w:r>
        <w:rPr>
          <w:rFonts w:hint="eastAsia" w:ascii="彩虹粗仿宋" w:hAnsi="宋体" w:eastAsia="彩虹粗仿宋"/>
          <w:sz w:val="28"/>
        </w:rPr>
        <w:instrText xml:space="preserve"> TOC \o "1-2" \h \z </w:instrText>
      </w:r>
      <w:r>
        <w:rPr>
          <w:rFonts w:hint="eastAsia" w:ascii="彩虹粗仿宋" w:hAnsi="宋体" w:eastAsia="彩虹粗仿宋"/>
          <w:sz w:val="28"/>
        </w:rPr>
        <w:fldChar w:fldCharType="separate"/>
      </w:r>
      <w:r>
        <w:fldChar w:fldCharType="begin"/>
      </w:r>
      <w:r>
        <w:instrText xml:space="preserve"> HYPERLINK \l "_Toc124325885" </w:instrText>
      </w:r>
      <w:r>
        <w:fldChar w:fldCharType="separate"/>
      </w:r>
      <w:r>
        <w:rPr>
          <w:rStyle w:val="29"/>
          <w:rFonts w:hint="eastAsia" w:ascii="彩虹粗仿宋" w:eastAsia="彩虹粗仿宋"/>
          <w:sz w:val="28"/>
          <w:szCs w:val="32"/>
        </w:rPr>
        <w:t>一、基金托管协议当事人</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_Toc124325885 \h </w:instrText>
      </w:r>
      <w:r>
        <w:rPr>
          <w:rFonts w:hint="eastAsia" w:ascii="彩虹粗仿宋" w:hAnsi="宋体" w:eastAsia="彩虹粗仿宋"/>
          <w:sz w:val="28"/>
        </w:rPr>
        <w:fldChar w:fldCharType="separate"/>
      </w:r>
      <w:r>
        <w:rPr>
          <w:rFonts w:ascii="彩虹粗仿宋" w:hAnsi="宋体" w:eastAsia="彩虹粗仿宋"/>
          <w:sz w:val="28"/>
        </w:rPr>
        <w:t>3</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pPr>
        <w:pStyle w:val="19"/>
        <w:tabs>
          <w:tab w:val="right" w:leader="dot" w:pos="8494"/>
        </w:tabs>
        <w:rPr>
          <w:rFonts w:ascii="彩虹粗仿宋" w:hAnsi="宋体" w:eastAsia="彩虹粗仿宋"/>
          <w:sz w:val="28"/>
        </w:rPr>
      </w:pPr>
      <w:r>
        <w:fldChar w:fldCharType="begin"/>
      </w:r>
      <w:r>
        <w:instrText xml:space="preserve"> HYPERLINK \l "_Toc124325886" </w:instrText>
      </w:r>
      <w:r>
        <w:fldChar w:fldCharType="separate"/>
      </w:r>
      <w:r>
        <w:rPr>
          <w:rStyle w:val="29"/>
          <w:rFonts w:hint="eastAsia" w:ascii="彩虹粗仿宋" w:eastAsia="彩虹粗仿宋"/>
          <w:sz w:val="28"/>
          <w:szCs w:val="32"/>
        </w:rPr>
        <w:t>二、基金托管协议的依据、目的和原则</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_Toc124325886 \h </w:instrText>
      </w:r>
      <w:r>
        <w:rPr>
          <w:rFonts w:hint="eastAsia" w:ascii="彩虹粗仿宋" w:hAnsi="宋体" w:eastAsia="彩虹粗仿宋"/>
          <w:sz w:val="28"/>
        </w:rPr>
        <w:fldChar w:fldCharType="separate"/>
      </w:r>
      <w:r>
        <w:rPr>
          <w:rFonts w:ascii="彩虹粗仿宋" w:hAnsi="宋体" w:eastAsia="彩虹粗仿宋"/>
          <w:sz w:val="28"/>
        </w:rPr>
        <w:t>4</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pPr>
        <w:pStyle w:val="19"/>
        <w:tabs>
          <w:tab w:val="right" w:leader="dot" w:pos="8494"/>
        </w:tabs>
        <w:rPr>
          <w:rFonts w:ascii="彩虹粗仿宋" w:hAnsi="宋体" w:eastAsia="彩虹粗仿宋"/>
          <w:sz w:val="28"/>
        </w:rPr>
      </w:pPr>
      <w:r>
        <w:fldChar w:fldCharType="begin"/>
      </w:r>
      <w:r>
        <w:instrText xml:space="preserve"> HYPERLINK \l "_Toc124325887" </w:instrText>
      </w:r>
      <w:r>
        <w:fldChar w:fldCharType="separate"/>
      </w:r>
      <w:r>
        <w:rPr>
          <w:rStyle w:val="29"/>
          <w:rFonts w:hint="eastAsia" w:ascii="彩虹粗仿宋" w:eastAsia="彩虹粗仿宋"/>
          <w:sz w:val="28"/>
          <w:szCs w:val="32"/>
        </w:rPr>
        <w:t>三、基金托管人对基金管理人的业务监督和核查</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_Toc124325887 \h </w:instrText>
      </w:r>
      <w:r>
        <w:rPr>
          <w:rFonts w:hint="eastAsia" w:ascii="彩虹粗仿宋" w:hAnsi="宋体" w:eastAsia="彩虹粗仿宋"/>
          <w:sz w:val="28"/>
        </w:rPr>
        <w:fldChar w:fldCharType="separate"/>
      </w:r>
      <w:r>
        <w:rPr>
          <w:rFonts w:ascii="彩虹粗仿宋" w:hAnsi="宋体" w:eastAsia="彩虹粗仿宋"/>
          <w:sz w:val="28"/>
        </w:rPr>
        <w:t>5</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pPr>
        <w:pStyle w:val="19"/>
        <w:tabs>
          <w:tab w:val="right" w:leader="dot" w:pos="8494"/>
        </w:tabs>
        <w:rPr>
          <w:rFonts w:ascii="彩虹粗仿宋" w:hAnsi="宋体" w:eastAsia="彩虹粗仿宋"/>
          <w:sz w:val="28"/>
        </w:rPr>
      </w:pPr>
      <w:r>
        <w:fldChar w:fldCharType="begin"/>
      </w:r>
      <w:r>
        <w:instrText xml:space="preserve"> HYPERLINK \l "_Toc124325888" </w:instrText>
      </w:r>
      <w:r>
        <w:fldChar w:fldCharType="separate"/>
      </w:r>
      <w:r>
        <w:rPr>
          <w:rStyle w:val="29"/>
          <w:rFonts w:hint="eastAsia" w:ascii="彩虹粗仿宋" w:eastAsia="彩虹粗仿宋"/>
          <w:sz w:val="28"/>
          <w:szCs w:val="32"/>
        </w:rPr>
        <w:t>四、基金管理人对基金托管人的业务核查</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_Toc124325888 \h </w:instrText>
      </w:r>
      <w:r>
        <w:rPr>
          <w:rFonts w:hint="eastAsia" w:ascii="彩虹粗仿宋" w:hAnsi="宋体" w:eastAsia="彩虹粗仿宋"/>
          <w:sz w:val="28"/>
        </w:rPr>
        <w:fldChar w:fldCharType="separate"/>
      </w:r>
      <w:r>
        <w:rPr>
          <w:rFonts w:ascii="彩虹粗仿宋" w:hAnsi="宋体" w:eastAsia="彩虹粗仿宋"/>
          <w:sz w:val="28"/>
        </w:rPr>
        <w:t>10</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pPr>
        <w:pStyle w:val="19"/>
        <w:tabs>
          <w:tab w:val="right" w:leader="dot" w:pos="8494"/>
        </w:tabs>
        <w:rPr>
          <w:rFonts w:ascii="彩虹粗仿宋" w:hAnsi="宋体" w:eastAsia="彩虹粗仿宋"/>
          <w:sz w:val="28"/>
        </w:rPr>
      </w:pPr>
      <w:r>
        <w:fldChar w:fldCharType="begin"/>
      </w:r>
      <w:r>
        <w:instrText xml:space="preserve"> HYPERLINK \l "_Toc124325889" </w:instrText>
      </w:r>
      <w:r>
        <w:fldChar w:fldCharType="separate"/>
      </w:r>
      <w:r>
        <w:rPr>
          <w:rStyle w:val="29"/>
          <w:rFonts w:hint="eastAsia" w:ascii="彩虹粗仿宋" w:eastAsia="彩虹粗仿宋"/>
          <w:sz w:val="28"/>
          <w:szCs w:val="32"/>
        </w:rPr>
        <w:t>五、基金财产的保管</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_Toc124325889 \h </w:instrText>
      </w:r>
      <w:r>
        <w:rPr>
          <w:rFonts w:hint="eastAsia" w:ascii="彩虹粗仿宋" w:hAnsi="宋体" w:eastAsia="彩虹粗仿宋"/>
          <w:sz w:val="28"/>
        </w:rPr>
        <w:fldChar w:fldCharType="separate"/>
      </w:r>
      <w:r>
        <w:rPr>
          <w:rFonts w:ascii="彩虹粗仿宋" w:hAnsi="宋体" w:eastAsia="彩虹粗仿宋"/>
          <w:sz w:val="28"/>
        </w:rPr>
        <w:t>10</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pPr>
        <w:pStyle w:val="19"/>
        <w:tabs>
          <w:tab w:val="right" w:leader="dot" w:pos="8494"/>
        </w:tabs>
        <w:rPr>
          <w:rFonts w:ascii="彩虹粗仿宋" w:hAnsi="宋体" w:eastAsia="彩虹粗仿宋"/>
          <w:sz w:val="28"/>
        </w:rPr>
      </w:pPr>
      <w:r>
        <w:fldChar w:fldCharType="begin"/>
      </w:r>
      <w:r>
        <w:instrText xml:space="preserve"> HYPERLINK \l "_Toc124325890" </w:instrText>
      </w:r>
      <w:r>
        <w:fldChar w:fldCharType="separate"/>
      </w:r>
      <w:r>
        <w:rPr>
          <w:rStyle w:val="29"/>
          <w:rFonts w:hint="eastAsia" w:ascii="彩虹粗仿宋" w:eastAsia="彩虹粗仿宋"/>
          <w:sz w:val="28"/>
          <w:szCs w:val="32"/>
        </w:rPr>
        <w:t>六、指令的发送、确认及执行</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_Toc124325890 \h </w:instrText>
      </w:r>
      <w:r>
        <w:rPr>
          <w:rFonts w:hint="eastAsia" w:ascii="彩虹粗仿宋" w:hAnsi="宋体" w:eastAsia="彩虹粗仿宋"/>
          <w:sz w:val="28"/>
        </w:rPr>
        <w:fldChar w:fldCharType="separate"/>
      </w:r>
      <w:r>
        <w:rPr>
          <w:rFonts w:ascii="彩虹粗仿宋" w:hAnsi="宋体" w:eastAsia="彩虹粗仿宋"/>
          <w:sz w:val="28"/>
        </w:rPr>
        <w:t>13</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pPr>
        <w:pStyle w:val="19"/>
        <w:tabs>
          <w:tab w:val="right" w:leader="dot" w:pos="8494"/>
        </w:tabs>
        <w:rPr>
          <w:rFonts w:ascii="彩虹粗仿宋" w:hAnsi="宋体" w:eastAsia="彩虹粗仿宋"/>
          <w:sz w:val="28"/>
        </w:rPr>
      </w:pPr>
      <w:r>
        <w:fldChar w:fldCharType="begin"/>
      </w:r>
      <w:r>
        <w:instrText xml:space="preserve"> HYPERLINK \l "_Toc124325891" </w:instrText>
      </w:r>
      <w:r>
        <w:fldChar w:fldCharType="separate"/>
      </w:r>
      <w:r>
        <w:rPr>
          <w:rStyle w:val="29"/>
          <w:rFonts w:hint="eastAsia" w:ascii="彩虹粗仿宋" w:eastAsia="彩虹粗仿宋"/>
          <w:sz w:val="28"/>
          <w:szCs w:val="32"/>
        </w:rPr>
        <w:t>七、交易及清算交收安排</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_Toc124325891 \h </w:instrText>
      </w:r>
      <w:r>
        <w:rPr>
          <w:rFonts w:hint="eastAsia" w:ascii="彩虹粗仿宋" w:hAnsi="宋体" w:eastAsia="彩虹粗仿宋"/>
          <w:sz w:val="28"/>
        </w:rPr>
        <w:fldChar w:fldCharType="separate"/>
      </w:r>
      <w:r>
        <w:rPr>
          <w:rFonts w:ascii="彩虹粗仿宋" w:hAnsi="宋体" w:eastAsia="彩虹粗仿宋"/>
          <w:sz w:val="28"/>
        </w:rPr>
        <w:t>16</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pPr>
        <w:pStyle w:val="19"/>
        <w:tabs>
          <w:tab w:val="right" w:leader="dot" w:pos="8494"/>
        </w:tabs>
        <w:rPr>
          <w:rFonts w:ascii="彩虹粗仿宋" w:hAnsi="宋体" w:eastAsia="彩虹粗仿宋"/>
          <w:sz w:val="28"/>
        </w:rPr>
      </w:pPr>
      <w:r>
        <w:fldChar w:fldCharType="begin"/>
      </w:r>
      <w:r>
        <w:instrText xml:space="preserve"> HYPERLINK \l "_Toc124325892" </w:instrText>
      </w:r>
      <w:r>
        <w:fldChar w:fldCharType="separate"/>
      </w:r>
      <w:r>
        <w:rPr>
          <w:rStyle w:val="29"/>
          <w:rFonts w:hint="eastAsia" w:ascii="彩虹粗仿宋" w:eastAsia="彩虹粗仿宋"/>
          <w:sz w:val="28"/>
          <w:szCs w:val="32"/>
        </w:rPr>
        <w:t>八、基金资产净值计算和会计核算</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_Toc124325892 \h </w:instrText>
      </w:r>
      <w:r>
        <w:rPr>
          <w:rFonts w:hint="eastAsia" w:ascii="彩虹粗仿宋" w:hAnsi="宋体" w:eastAsia="彩虹粗仿宋"/>
          <w:sz w:val="28"/>
        </w:rPr>
        <w:fldChar w:fldCharType="separate"/>
      </w:r>
      <w:r>
        <w:rPr>
          <w:rFonts w:ascii="彩虹粗仿宋" w:hAnsi="宋体" w:eastAsia="彩虹粗仿宋"/>
          <w:sz w:val="28"/>
        </w:rPr>
        <w:t>19</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pPr>
        <w:pStyle w:val="19"/>
        <w:tabs>
          <w:tab w:val="right" w:leader="dot" w:pos="8494"/>
        </w:tabs>
        <w:rPr>
          <w:rFonts w:ascii="彩虹粗仿宋" w:hAnsi="宋体" w:eastAsia="彩虹粗仿宋"/>
          <w:sz w:val="28"/>
        </w:rPr>
      </w:pPr>
      <w:r>
        <w:fldChar w:fldCharType="begin"/>
      </w:r>
      <w:r>
        <w:instrText xml:space="preserve"> HYPERLINK \l "_Toc124325893" </w:instrText>
      </w:r>
      <w:r>
        <w:fldChar w:fldCharType="separate"/>
      </w:r>
      <w:r>
        <w:rPr>
          <w:rStyle w:val="29"/>
          <w:rFonts w:hint="eastAsia" w:ascii="彩虹粗仿宋" w:eastAsia="彩虹粗仿宋"/>
          <w:sz w:val="28"/>
          <w:szCs w:val="32"/>
        </w:rPr>
        <w:t>九、基金收益分配</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_Toc124325893 \h </w:instrText>
      </w:r>
      <w:r>
        <w:rPr>
          <w:rFonts w:hint="eastAsia" w:ascii="彩虹粗仿宋" w:hAnsi="宋体" w:eastAsia="彩虹粗仿宋"/>
          <w:sz w:val="28"/>
        </w:rPr>
        <w:fldChar w:fldCharType="separate"/>
      </w:r>
      <w:r>
        <w:rPr>
          <w:rFonts w:ascii="彩虹粗仿宋" w:hAnsi="宋体" w:eastAsia="彩虹粗仿宋"/>
          <w:sz w:val="28"/>
        </w:rPr>
        <w:t>24</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pPr>
        <w:pStyle w:val="19"/>
        <w:tabs>
          <w:tab w:val="right" w:leader="dot" w:pos="8494"/>
        </w:tabs>
        <w:rPr>
          <w:rFonts w:ascii="彩虹粗仿宋" w:hAnsi="宋体" w:eastAsia="彩虹粗仿宋"/>
          <w:sz w:val="28"/>
        </w:rPr>
      </w:pPr>
      <w:r>
        <w:fldChar w:fldCharType="begin"/>
      </w:r>
      <w:r>
        <w:instrText xml:space="preserve"> HYPERLINK \l "_Toc124325894" </w:instrText>
      </w:r>
      <w:r>
        <w:fldChar w:fldCharType="separate"/>
      </w:r>
      <w:r>
        <w:rPr>
          <w:rStyle w:val="29"/>
          <w:rFonts w:hint="eastAsia" w:ascii="彩虹粗仿宋" w:eastAsia="彩虹粗仿宋"/>
          <w:sz w:val="28"/>
          <w:szCs w:val="32"/>
        </w:rPr>
        <w:t>十、基金信息披露</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_Toc124325894 \h </w:instrText>
      </w:r>
      <w:r>
        <w:rPr>
          <w:rFonts w:hint="eastAsia" w:ascii="彩虹粗仿宋" w:hAnsi="宋体" w:eastAsia="彩虹粗仿宋"/>
          <w:sz w:val="28"/>
        </w:rPr>
        <w:fldChar w:fldCharType="separate"/>
      </w:r>
      <w:r>
        <w:rPr>
          <w:rFonts w:ascii="彩虹粗仿宋" w:hAnsi="宋体" w:eastAsia="彩虹粗仿宋"/>
          <w:sz w:val="28"/>
        </w:rPr>
        <w:t>25</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pPr>
        <w:pStyle w:val="19"/>
        <w:tabs>
          <w:tab w:val="right" w:leader="dot" w:pos="8494"/>
        </w:tabs>
        <w:rPr>
          <w:rFonts w:ascii="彩虹粗仿宋" w:hAnsi="宋体" w:eastAsia="彩虹粗仿宋"/>
          <w:sz w:val="28"/>
        </w:rPr>
      </w:pPr>
      <w:r>
        <w:fldChar w:fldCharType="begin"/>
      </w:r>
      <w:r>
        <w:instrText xml:space="preserve"> HYPERLINK \l "_Toc124325895" </w:instrText>
      </w:r>
      <w:r>
        <w:fldChar w:fldCharType="separate"/>
      </w:r>
      <w:r>
        <w:rPr>
          <w:rStyle w:val="29"/>
          <w:rFonts w:hint="eastAsia" w:ascii="彩虹粗仿宋" w:eastAsia="彩虹粗仿宋"/>
          <w:sz w:val="28"/>
          <w:szCs w:val="32"/>
        </w:rPr>
        <w:t>十一、基金费用</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_Toc124325895 \h </w:instrText>
      </w:r>
      <w:r>
        <w:rPr>
          <w:rFonts w:hint="eastAsia" w:ascii="彩虹粗仿宋" w:hAnsi="宋体" w:eastAsia="彩虹粗仿宋"/>
          <w:sz w:val="28"/>
        </w:rPr>
        <w:fldChar w:fldCharType="separate"/>
      </w:r>
      <w:r>
        <w:rPr>
          <w:rFonts w:ascii="彩虹粗仿宋" w:hAnsi="宋体" w:eastAsia="彩虹粗仿宋"/>
          <w:sz w:val="28"/>
        </w:rPr>
        <w:t>26</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pPr>
        <w:pStyle w:val="19"/>
        <w:tabs>
          <w:tab w:val="right" w:leader="dot" w:pos="8494"/>
        </w:tabs>
        <w:rPr>
          <w:rFonts w:ascii="彩虹粗仿宋" w:hAnsi="宋体" w:eastAsia="彩虹粗仿宋"/>
          <w:sz w:val="28"/>
        </w:rPr>
      </w:pPr>
      <w:r>
        <w:fldChar w:fldCharType="begin"/>
      </w:r>
      <w:r>
        <w:instrText xml:space="preserve"> HYPERLINK \l "_Toc124325896" </w:instrText>
      </w:r>
      <w:r>
        <w:fldChar w:fldCharType="separate"/>
      </w:r>
      <w:r>
        <w:rPr>
          <w:rStyle w:val="29"/>
          <w:rFonts w:hint="eastAsia" w:ascii="彩虹粗仿宋" w:eastAsia="彩虹粗仿宋"/>
          <w:sz w:val="28"/>
          <w:szCs w:val="32"/>
        </w:rPr>
        <w:t>十二、基金份额持有人名册的保管</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_Toc124325896 \h </w:instrText>
      </w:r>
      <w:r>
        <w:rPr>
          <w:rFonts w:hint="eastAsia" w:ascii="彩虹粗仿宋" w:hAnsi="宋体" w:eastAsia="彩虹粗仿宋"/>
          <w:sz w:val="28"/>
        </w:rPr>
        <w:fldChar w:fldCharType="separate"/>
      </w:r>
      <w:r>
        <w:rPr>
          <w:rFonts w:ascii="彩虹粗仿宋" w:hAnsi="宋体" w:eastAsia="彩虹粗仿宋"/>
          <w:sz w:val="28"/>
        </w:rPr>
        <w:t>31</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pPr>
        <w:pStyle w:val="19"/>
        <w:tabs>
          <w:tab w:val="right" w:leader="dot" w:pos="8494"/>
        </w:tabs>
        <w:rPr>
          <w:rFonts w:ascii="彩虹粗仿宋" w:hAnsi="宋体" w:eastAsia="彩虹粗仿宋"/>
          <w:sz w:val="28"/>
        </w:rPr>
      </w:pPr>
      <w:r>
        <w:fldChar w:fldCharType="begin"/>
      </w:r>
      <w:r>
        <w:instrText xml:space="preserve"> HYPERLINK \l "_Toc124325897" </w:instrText>
      </w:r>
      <w:r>
        <w:fldChar w:fldCharType="separate"/>
      </w:r>
      <w:r>
        <w:rPr>
          <w:rStyle w:val="29"/>
          <w:rFonts w:hint="eastAsia" w:ascii="彩虹粗仿宋" w:eastAsia="彩虹粗仿宋"/>
          <w:sz w:val="28"/>
          <w:szCs w:val="32"/>
        </w:rPr>
        <w:t>十三、基金有关文件档案的保存</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_Toc124325897 \h </w:instrText>
      </w:r>
      <w:r>
        <w:rPr>
          <w:rFonts w:hint="eastAsia" w:ascii="彩虹粗仿宋" w:hAnsi="宋体" w:eastAsia="彩虹粗仿宋"/>
          <w:sz w:val="28"/>
        </w:rPr>
        <w:fldChar w:fldCharType="separate"/>
      </w:r>
      <w:r>
        <w:rPr>
          <w:rFonts w:ascii="彩虹粗仿宋" w:hAnsi="宋体" w:eastAsia="彩虹粗仿宋"/>
          <w:sz w:val="28"/>
        </w:rPr>
        <w:t>31</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pPr>
        <w:pStyle w:val="19"/>
        <w:tabs>
          <w:tab w:val="right" w:leader="dot" w:pos="8494"/>
        </w:tabs>
        <w:rPr>
          <w:rFonts w:ascii="彩虹粗仿宋" w:hAnsi="宋体" w:eastAsia="彩虹粗仿宋"/>
          <w:sz w:val="28"/>
        </w:rPr>
      </w:pPr>
      <w:r>
        <w:fldChar w:fldCharType="begin"/>
      </w:r>
      <w:r>
        <w:instrText xml:space="preserve"> HYPERLINK \l "_Toc124325898" </w:instrText>
      </w:r>
      <w:r>
        <w:fldChar w:fldCharType="separate"/>
      </w:r>
      <w:r>
        <w:rPr>
          <w:rStyle w:val="29"/>
          <w:rFonts w:hint="eastAsia" w:ascii="彩虹粗仿宋" w:eastAsia="彩虹粗仿宋"/>
          <w:sz w:val="28"/>
          <w:szCs w:val="32"/>
        </w:rPr>
        <w:t>十四、基金管理人和基金托管人的更换</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_Toc124325898 \h </w:instrText>
      </w:r>
      <w:r>
        <w:rPr>
          <w:rFonts w:hint="eastAsia" w:ascii="彩虹粗仿宋" w:hAnsi="宋体" w:eastAsia="彩虹粗仿宋"/>
          <w:sz w:val="28"/>
        </w:rPr>
        <w:fldChar w:fldCharType="separate"/>
      </w:r>
      <w:r>
        <w:rPr>
          <w:rFonts w:ascii="彩虹粗仿宋" w:hAnsi="宋体" w:eastAsia="彩虹粗仿宋"/>
          <w:sz w:val="28"/>
        </w:rPr>
        <w:t>32</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pPr>
        <w:pStyle w:val="19"/>
        <w:tabs>
          <w:tab w:val="right" w:leader="dot" w:pos="8494"/>
        </w:tabs>
        <w:rPr>
          <w:rFonts w:ascii="彩虹粗仿宋" w:hAnsi="宋体" w:eastAsia="彩虹粗仿宋"/>
          <w:sz w:val="28"/>
        </w:rPr>
      </w:pPr>
      <w:r>
        <w:fldChar w:fldCharType="begin"/>
      </w:r>
      <w:r>
        <w:instrText xml:space="preserve"> HYPERLINK \l "_Toc124325899" </w:instrText>
      </w:r>
      <w:r>
        <w:fldChar w:fldCharType="separate"/>
      </w:r>
      <w:r>
        <w:rPr>
          <w:rStyle w:val="29"/>
          <w:rFonts w:hint="eastAsia" w:ascii="彩虹粗仿宋" w:eastAsia="彩虹粗仿宋"/>
          <w:sz w:val="28"/>
          <w:szCs w:val="32"/>
        </w:rPr>
        <w:t>十五、禁止行为</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_Toc124325899 \h </w:instrText>
      </w:r>
      <w:r>
        <w:rPr>
          <w:rFonts w:hint="eastAsia" w:ascii="彩虹粗仿宋" w:hAnsi="宋体" w:eastAsia="彩虹粗仿宋"/>
          <w:sz w:val="28"/>
        </w:rPr>
        <w:fldChar w:fldCharType="separate"/>
      </w:r>
      <w:r>
        <w:rPr>
          <w:rFonts w:ascii="彩虹粗仿宋" w:hAnsi="宋体" w:eastAsia="彩虹粗仿宋"/>
          <w:sz w:val="28"/>
        </w:rPr>
        <w:t>34</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pPr>
        <w:pStyle w:val="19"/>
        <w:tabs>
          <w:tab w:val="right" w:leader="dot" w:pos="8494"/>
        </w:tabs>
        <w:rPr>
          <w:rFonts w:ascii="彩虹粗仿宋" w:hAnsi="宋体" w:eastAsia="彩虹粗仿宋"/>
          <w:sz w:val="28"/>
        </w:rPr>
      </w:pPr>
      <w:r>
        <w:fldChar w:fldCharType="begin"/>
      </w:r>
      <w:r>
        <w:instrText xml:space="preserve"> HYPERLINK \l "_Toc124325900" </w:instrText>
      </w:r>
      <w:r>
        <w:fldChar w:fldCharType="separate"/>
      </w:r>
      <w:r>
        <w:rPr>
          <w:rStyle w:val="29"/>
          <w:rFonts w:hint="eastAsia" w:ascii="彩虹粗仿宋" w:eastAsia="彩虹粗仿宋"/>
          <w:sz w:val="28"/>
          <w:szCs w:val="32"/>
        </w:rPr>
        <w:t>十六、托管协议的变更、终止与基金财产的清算</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_Toc124325900 \h </w:instrText>
      </w:r>
      <w:r>
        <w:rPr>
          <w:rFonts w:hint="eastAsia" w:ascii="彩虹粗仿宋" w:hAnsi="宋体" w:eastAsia="彩虹粗仿宋"/>
          <w:sz w:val="28"/>
        </w:rPr>
        <w:fldChar w:fldCharType="separate"/>
      </w:r>
      <w:r>
        <w:rPr>
          <w:rFonts w:ascii="彩虹粗仿宋" w:hAnsi="宋体" w:eastAsia="彩虹粗仿宋"/>
          <w:sz w:val="28"/>
        </w:rPr>
        <w:t>34</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pPr>
        <w:pStyle w:val="19"/>
        <w:tabs>
          <w:tab w:val="right" w:leader="dot" w:pos="8494"/>
        </w:tabs>
        <w:rPr>
          <w:rFonts w:ascii="彩虹粗仿宋" w:hAnsi="宋体" w:eastAsia="彩虹粗仿宋"/>
          <w:sz w:val="28"/>
        </w:rPr>
      </w:pPr>
      <w:r>
        <w:fldChar w:fldCharType="begin"/>
      </w:r>
      <w:r>
        <w:instrText xml:space="preserve"> HYPERLINK \l "_Toc124325901" </w:instrText>
      </w:r>
      <w:r>
        <w:fldChar w:fldCharType="separate"/>
      </w:r>
      <w:r>
        <w:rPr>
          <w:rStyle w:val="29"/>
          <w:rFonts w:hint="eastAsia" w:ascii="彩虹粗仿宋" w:eastAsia="彩虹粗仿宋"/>
          <w:sz w:val="28"/>
          <w:szCs w:val="32"/>
        </w:rPr>
        <w:t>十七、违约责任</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_Toc124325901 \h </w:instrText>
      </w:r>
      <w:r>
        <w:rPr>
          <w:rFonts w:hint="eastAsia" w:ascii="彩虹粗仿宋" w:hAnsi="宋体" w:eastAsia="彩虹粗仿宋"/>
          <w:sz w:val="28"/>
        </w:rPr>
        <w:fldChar w:fldCharType="separate"/>
      </w:r>
      <w:r>
        <w:rPr>
          <w:rFonts w:ascii="彩虹粗仿宋" w:hAnsi="宋体" w:eastAsia="彩虹粗仿宋"/>
          <w:sz w:val="28"/>
        </w:rPr>
        <w:t>36</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pPr>
        <w:pStyle w:val="19"/>
        <w:tabs>
          <w:tab w:val="right" w:leader="dot" w:pos="8494"/>
        </w:tabs>
        <w:rPr>
          <w:rFonts w:ascii="彩虹粗仿宋" w:hAnsi="宋体" w:eastAsia="彩虹粗仿宋"/>
          <w:sz w:val="28"/>
        </w:rPr>
      </w:pPr>
      <w:r>
        <w:fldChar w:fldCharType="begin"/>
      </w:r>
      <w:r>
        <w:instrText xml:space="preserve"> HYPERLINK \l "_Toc124325902" </w:instrText>
      </w:r>
      <w:r>
        <w:fldChar w:fldCharType="separate"/>
      </w:r>
      <w:r>
        <w:rPr>
          <w:rStyle w:val="29"/>
          <w:rFonts w:hint="eastAsia" w:ascii="彩虹粗仿宋" w:eastAsia="彩虹粗仿宋"/>
          <w:sz w:val="28"/>
          <w:szCs w:val="32"/>
        </w:rPr>
        <w:t>十八、争议解决方式</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_Toc124325902 \h </w:instrText>
      </w:r>
      <w:r>
        <w:rPr>
          <w:rFonts w:hint="eastAsia" w:ascii="彩虹粗仿宋" w:hAnsi="宋体" w:eastAsia="彩虹粗仿宋"/>
          <w:sz w:val="28"/>
        </w:rPr>
        <w:fldChar w:fldCharType="separate"/>
      </w:r>
      <w:r>
        <w:rPr>
          <w:rFonts w:ascii="彩虹粗仿宋" w:hAnsi="宋体" w:eastAsia="彩虹粗仿宋"/>
          <w:sz w:val="28"/>
        </w:rPr>
        <w:t>37</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pPr>
        <w:pStyle w:val="19"/>
        <w:tabs>
          <w:tab w:val="right" w:leader="dot" w:pos="8494"/>
        </w:tabs>
        <w:rPr>
          <w:rFonts w:ascii="彩虹粗仿宋" w:hAnsi="宋体" w:eastAsia="彩虹粗仿宋"/>
          <w:sz w:val="28"/>
        </w:rPr>
      </w:pPr>
      <w:r>
        <w:fldChar w:fldCharType="begin"/>
      </w:r>
      <w:r>
        <w:instrText xml:space="preserve"> HYPERLINK \l "_Toc124325903" </w:instrText>
      </w:r>
      <w:r>
        <w:fldChar w:fldCharType="separate"/>
      </w:r>
      <w:r>
        <w:rPr>
          <w:rStyle w:val="29"/>
          <w:rFonts w:hint="eastAsia" w:ascii="彩虹粗仿宋" w:eastAsia="彩虹粗仿宋"/>
          <w:sz w:val="28"/>
          <w:szCs w:val="32"/>
        </w:rPr>
        <w:t>十九、托管协议的效力</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_Toc124325903 \h </w:instrText>
      </w:r>
      <w:r>
        <w:rPr>
          <w:rFonts w:hint="eastAsia" w:ascii="彩虹粗仿宋" w:hAnsi="宋体" w:eastAsia="彩虹粗仿宋"/>
          <w:sz w:val="28"/>
        </w:rPr>
        <w:fldChar w:fldCharType="separate"/>
      </w:r>
      <w:r>
        <w:rPr>
          <w:rFonts w:ascii="彩虹粗仿宋" w:hAnsi="宋体" w:eastAsia="彩虹粗仿宋"/>
          <w:sz w:val="28"/>
        </w:rPr>
        <w:t>37</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pPr>
        <w:pStyle w:val="19"/>
        <w:tabs>
          <w:tab w:val="right" w:leader="dot" w:pos="8494"/>
        </w:tabs>
        <w:rPr>
          <w:rFonts w:ascii="彩虹粗仿宋" w:hAnsi="宋体" w:eastAsia="彩虹粗仿宋"/>
          <w:sz w:val="28"/>
        </w:rPr>
      </w:pPr>
      <w:r>
        <w:fldChar w:fldCharType="begin"/>
      </w:r>
      <w:r>
        <w:instrText xml:space="preserve"> HYPERLINK \l "_Toc124325904" </w:instrText>
      </w:r>
      <w:r>
        <w:fldChar w:fldCharType="separate"/>
      </w:r>
      <w:r>
        <w:rPr>
          <w:rStyle w:val="29"/>
          <w:rFonts w:hint="eastAsia" w:ascii="彩虹粗仿宋" w:eastAsia="彩虹粗仿宋"/>
          <w:sz w:val="28"/>
          <w:szCs w:val="32"/>
        </w:rPr>
        <w:t>二十、其他事项</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_Toc124325904 \h </w:instrText>
      </w:r>
      <w:r>
        <w:rPr>
          <w:rFonts w:hint="eastAsia" w:ascii="彩虹粗仿宋" w:hAnsi="宋体" w:eastAsia="彩虹粗仿宋"/>
          <w:sz w:val="28"/>
        </w:rPr>
        <w:fldChar w:fldCharType="separate"/>
      </w:r>
      <w:r>
        <w:rPr>
          <w:rFonts w:ascii="彩虹粗仿宋" w:hAnsi="宋体" w:eastAsia="彩虹粗仿宋"/>
          <w:sz w:val="28"/>
        </w:rPr>
        <w:t>38</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pPr>
        <w:pStyle w:val="19"/>
        <w:tabs>
          <w:tab w:val="right" w:leader="dot" w:pos="8494"/>
        </w:tabs>
        <w:rPr>
          <w:rFonts w:ascii="彩虹粗仿宋" w:hAnsi="宋体" w:eastAsia="彩虹粗仿宋"/>
          <w:sz w:val="28"/>
        </w:rPr>
      </w:pPr>
      <w:r>
        <w:fldChar w:fldCharType="begin"/>
      </w:r>
      <w:r>
        <w:instrText xml:space="preserve"> HYPERLINK \l "_Toc124325905" </w:instrText>
      </w:r>
      <w:r>
        <w:fldChar w:fldCharType="separate"/>
      </w:r>
      <w:r>
        <w:rPr>
          <w:rStyle w:val="29"/>
          <w:rFonts w:hint="eastAsia" w:ascii="彩虹粗仿宋" w:eastAsia="彩虹粗仿宋"/>
          <w:sz w:val="28"/>
          <w:szCs w:val="32"/>
        </w:rPr>
        <w:t>二十一、托管协议的签订</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_Toc124325905 \h </w:instrText>
      </w:r>
      <w:r>
        <w:rPr>
          <w:rFonts w:hint="eastAsia" w:ascii="彩虹粗仿宋" w:hAnsi="宋体" w:eastAsia="彩虹粗仿宋"/>
          <w:sz w:val="28"/>
        </w:rPr>
        <w:fldChar w:fldCharType="separate"/>
      </w:r>
      <w:r>
        <w:rPr>
          <w:rFonts w:ascii="彩虹粗仿宋" w:hAnsi="宋体" w:eastAsia="彩虹粗仿宋"/>
          <w:sz w:val="28"/>
        </w:rPr>
        <w:t>38</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pPr>
        <w:rPr>
          <w:rFonts w:ascii="彩虹粗仿宋" w:eastAsia="彩虹粗仿宋"/>
          <w:sz w:val="24"/>
        </w:rPr>
      </w:pPr>
      <w:r>
        <w:rPr>
          <w:rFonts w:hint="eastAsia" w:ascii="彩虹粗仿宋" w:hAnsi="宋体" w:eastAsia="彩虹粗仿宋"/>
          <w:sz w:val="28"/>
        </w:rPr>
        <w:fldChar w:fldCharType="end"/>
      </w:r>
    </w:p>
    <w:p>
      <w:pPr>
        <w:widowControl/>
        <w:adjustRightInd w:val="0"/>
        <w:snapToGrid w:val="0"/>
        <w:ind w:firstLine="480" w:firstLineChars="200"/>
        <w:rPr>
          <w:rFonts w:ascii="彩虹粗仿宋" w:hAnsi="宋体" w:eastAsia="彩虹粗仿宋" w:cs="Arial"/>
          <w:kern w:val="0"/>
          <w:sz w:val="24"/>
        </w:rPr>
      </w:pPr>
      <w:r>
        <w:rPr>
          <w:rFonts w:hint="eastAsia" w:ascii="彩虹粗仿宋" w:hAnsi="宋体" w:eastAsia="彩虹粗仿宋" w:cs="Arial"/>
          <w:kern w:val="0"/>
          <w:sz w:val="24"/>
        </w:rPr>
        <w:t>鉴于鹏华基金管理有限公司系一家依照中国法律合法成立并有效存续的有限责任公司，按照相关法律法规的规定具备担任基金管理人的资格和能力，拟募集发行</w:t>
      </w:r>
      <w:r>
        <w:rPr>
          <w:rFonts w:hint="eastAsia" w:ascii="彩虹粗仿宋" w:hAnsi="宋体" w:eastAsia="彩虹粗仿宋" w:cs="Arial"/>
          <w:kern w:val="0"/>
          <w:sz w:val="24"/>
          <w:lang w:val="en-GB"/>
        </w:rPr>
        <w:t>鹏华制造升级混合型证券投资基金</w:t>
      </w:r>
      <w:r>
        <w:rPr>
          <w:rFonts w:hint="eastAsia" w:ascii="彩虹粗仿宋" w:hAnsi="宋体" w:eastAsia="彩虹粗仿宋" w:cs="Arial"/>
          <w:kern w:val="0"/>
          <w:sz w:val="24"/>
        </w:rPr>
        <w:t>（以下简称“本基金”或“基金”）；</w:t>
      </w:r>
    </w:p>
    <w:p>
      <w:pPr>
        <w:widowControl/>
        <w:adjustRightInd w:val="0"/>
        <w:snapToGrid w:val="0"/>
        <w:ind w:firstLine="480" w:firstLineChars="200"/>
        <w:rPr>
          <w:rFonts w:ascii="彩虹粗仿宋" w:hAnsi="宋体" w:eastAsia="彩虹粗仿宋" w:cs="Arial"/>
          <w:kern w:val="0"/>
          <w:sz w:val="24"/>
        </w:rPr>
      </w:pPr>
      <w:r>
        <w:rPr>
          <w:rFonts w:hint="eastAsia" w:ascii="彩虹粗仿宋" w:hAnsi="宋体" w:eastAsia="彩虹粗仿宋" w:cs="Arial"/>
          <w:kern w:val="0"/>
          <w:sz w:val="24"/>
        </w:rPr>
        <w:t>鉴于中国建设银行股份有限公司系一家依照中国法律合法成立并有效存续的银行，按照相关法律法规的规定具备担任基金托管人的资格和能力；</w:t>
      </w:r>
    </w:p>
    <w:p>
      <w:pPr>
        <w:widowControl/>
        <w:adjustRightInd w:val="0"/>
        <w:snapToGrid w:val="0"/>
        <w:ind w:firstLine="480" w:firstLineChars="200"/>
        <w:rPr>
          <w:rFonts w:ascii="彩虹粗仿宋" w:hAnsi="宋体" w:eastAsia="彩虹粗仿宋" w:cs="Arial"/>
          <w:kern w:val="0"/>
          <w:sz w:val="24"/>
        </w:rPr>
      </w:pPr>
      <w:r>
        <w:rPr>
          <w:rFonts w:hint="eastAsia" w:ascii="彩虹粗仿宋" w:hAnsi="宋体" w:eastAsia="彩虹粗仿宋" w:cs="Arial"/>
          <w:kern w:val="0"/>
          <w:sz w:val="24"/>
        </w:rPr>
        <w:t>鉴于鹏华基金管理有限公司拟担任鹏华制造升级混合型证券投资基金的基金管理人，中国建设银行股份有限公司拟担任鹏华制造升级混合型证券投资基金的基金托管人；</w:t>
      </w:r>
    </w:p>
    <w:p>
      <w:pPr>
        <w:widowControl/>
        <w:adjustRightInd w:val="0"/>
        <w:snapToGrid w:val="0"/>
        <w:ind w:firstLine="480" w:firstLineChars="200"/>
        <w:rPr>
          <w:rFonts w:ascii="彩虹粗仿宋" w:hAnsi="宋体" w:eastAsia="彩虹粗仿宋" w:cs="Arial"/>
          <w:kern w:val="0"/>
          <w:sz w:val="24"/>
        </w:rPr>
      </w:pPr>
      <w:r>
        <w:rPr>
          <w:rFonts w:hint="eastAsia" w:ascii="彩虹粗仿宋" w:hAnsi="宋体" w:eastAsia="彩虹粗仿宋" w:cs="Arial"/>
          <w:kern w:val="0"/>
          <w:sz w:val="24"/>
        </w:rPr>
        <w:t>为明确鹏华制造升级混合型证券投资基金的基金管理人和基金托管人之间的权利义务关系，特制订本托管协议；</w:t>
      </w:r>
    </w:p>
    <w:p>
      <w:pPr>
        <w:widowControl/>
        <w:adjustRightInd w:val="0"/>
        <w:snapToGrid w:val="0"/>
        <w:ind w:firstLine="480" w:firstLineChars="200"/>
        <w:rPr>
          <w:rFonts w:ascii="彩虹粗仿宋" w:hAnsi="宋体" w:eastAsia="彩虹粗仿宋" w:cs="Arial"/>
          <w:kern w:val="0"/>
          <w:sz w:val="24"/>
          <w:lang w:val="en-GB"/>
        </w:rPr>
      </w:pPr>
      <w:r>
        <w:rPr>
          <w:rFonts w:hint="eastAsia" w:ascii="彩虹粗仿宋" w:hAnsi="宋体" w:eastAsia="彩虹粗仿宋" w:cs="Arial"/>
          <w:kern w:val="0"/>
          <w:sz w:val="24"/>
          <w:lang w:val="en-GB"/>
        </w:rPr>
        <w:t>除非另有约定，《鹏华制造升级混合型证券投资基金基金合同》(以下简称“基金合同”或“《基金合同》”)中定义的术语在用于本托管协议时应具有相同的含义；若有抵触应以《基金合同》为准，并依其</w:t>
      </w:r>
      <w:r>
        <w:rPr>
          <w:rFonts w:hint="eastAsia" w:ascii="彩虹粗仿宋" w:hAnsi="宋体" w:eastAsia="彩虹粗仿宋" w:cs="Arial"/>
          <w:kern w:val="0"/>
          <w:sz w:val="24"/>
        </w:rPr>
        <w:t>条款</w:t>
      </w:r>
      <w:r>
        <w:rPr>
          <w:rFonts w:hint="eastAsia" w:ascii="彩虹粗仿宋" w:hAnsi="宋体" w:eastAsia="彩虹粗仿宋" w:cs="Arial"/>
          <w:kern w:val="0"/>
          <w:sz w:val="24"/>
          <w:lang w:val="en-GB"/>
        </w:rPr>
        <w:t>解释。</w:t>
      </w:r>
    </w:p>
    <w:p>
      <w:pPr>
        <w:widowControl/>
        <w:adjustRightInd w:val="0"/>
        <w:snapToGrid w:val="0"/>
        <w:ind w:firstLine="480" w:firstLineChars="200"/>
        <w:rPr>
          <w:rFonts w:ascii="彩虹粗仿宋" w:hAnsi="宋体" w:eastAsia="彩虹粗仿宋" w:cs="Arial"/>
          <w:kern w:val="0"/>
          <w:sz w:val="24"/>
          <w:lang w:val="en-GB"/>
        </w:rPr>
      </w:pPr>
      <w:r>
        <w:rPr>
          <w:rFonts w:hint="eastAsia" w:ascii="彩虹粗仿宋" w:hAnsi="宋体" w:eastAsia="彩虹粗仿宋" w:cs="Arial"/>
          <w:kern w:val="0"/>
          <w:sz w:val="24"/>
          <w:lang w:val="en-GB"/>
        </w:rPr>
        <w:t>若本基金实施侧袋机制的，侧袋机制实施期间的相关安排见基金合同和招募说明书的规定。</w:t>
      </w:r>
    </w:p>
    <w:p>
      <w:pPr>
        <w:rPr>
          <w:rFonts w:ascii="彩虹粗仿宋" w:eastAsia="彩虹粗仿宋"/>
          <w:sz w:val="24"/>
          <w:lang w:val="en-GB"/>
        </w:rPr>
      </w:pPr>
    </w:p>
    <w:p>
      <w:pPr>
        <w:pStyle w:val="2"/>
        <w:jc w:val="center"/>
        <w:rPr>
          <w:rFonts w:ascii="彩虹粗仿宋" w:eastAsia="彩虹粗仿宋"/>
        </w:rPr>
      </w:pPr>
      <w:bookmarkStart w:id="0" w:name="_Toc124325885"/>
      <w:r>
        <w:rPr>
          <w:rFonts w:hint="eastAsia" w:ascii="彩虹粗仿宋" w:eastAsia="彩虹粗仿宋"/>
        </w:rPr>
        <w:t>一、基金托管协议当事人</w:t>
      </w:r>
      <w:bookmarkEnd w:id="0"/>
    </w:p>
    <w:p>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（一）基金管理人（以下或简称“管理人”）</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名称：鹏华基金管理有限公司</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注册地址：深圳市福田区福华三路168号深圳国际商会中心43层</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办公地址：深圳市福田区福华三路168号深圳国际商会中心43层</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邮政编码：518048</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法定代表人：张纳沙</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成立日期：1998年12月22日</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批准设立机关及批准设立文号：中国证券监督管理委员会[1998]31号文</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组织形式：有限责任公司</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注册资本：1.5亿元人民币</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存续期间：持续经营</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经营范围：基金募集；基金销售；资产管理以及中国证监会许可的其它业务。</w:t>
      </w:r>
    </w:p>
    <w:p>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（二）基金托管人（以下或简称“托管人”）</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名称：中国建设银行股份有限公司（简称：中国建设银行）</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住所：北京市西城区金融大街25号</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办公地址：北京市西城区闹市口大街1号院1号楼</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邮政编码：100033</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法定代表人：张金良</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成立日期：2004年09月17日</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基金托管业务批准文号：中国证监会证监基字[1998</w:t>
      </w:r>
      <w:bookmarkStart w:id="1" w:name="OLE_LINK3"/>
      <w:r>
        <w:rPr>
          <w:rFonts w:hint="eastAsia" w:ascii="彩虹粗仿宋" w:hAnsi="宋体" w:eastAsia="彩虹粗仿宋" w:cs="Arial"/>
          <w:sz w:val="24"/>
        </w:rPr>
        <w:t>]</w:t>
      </w:r>
      <w:bookmarkEnd w:id="1"/>
      <w:r>
        <w:rPr>
          <w:rFonts w:hint="eastAsia" w:ascii="彩虹粗仿宋" w:hAnsi="宋体" w:eastAsia="彩虹粗仿宋" w:cs="Arial"/>
          <w:sz w:val="24"/>
        </w:rPr>
        <w:t>12号</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组织形式：股份有限公司</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注册资本：</w:t>
      </w:r>
      <w:r>
        <w:rPr>
          <w:rFonts w:hint="eastAsia" w:ascii="彩虹粗仿宋" w:eastAsia="彩虹粗仿宋"/>
          <w:sz w:val="24"/>
        </w:rPr>
        <w:t>贰仟伍佰亿壹仟零玖拾柒万柒仟肆佰捌拾陆元整</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存续期间：持续经营</w:t>
      </w:r>
    </w:p>
    <w:p>
      <w:pPr>
        <w:tabs>
          <w:tab w:val="left" w:pos="540"/>
        </w:tabs>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pPr>
        <w:rPr>
          <w:rFonts w:ascii="彩虹粗仿宋" w:eastAsia="彩虹粗仿宋"/>
          <w:sz w:val="24"/>
        </w:rPr>
      </w:pPr>
    </w:p>
    <w:p>
      <w:pPr>
        <w:pStyle w:val="2"/>
        <w:jc w:val="center"/>
        <w:rPr>
          <w:rFonts w:ascii="彩虹粗仿宋" w:eastAsia="彩虹粗仿宋"/>
          <w:sz w:val="30"/>
        </w:rPr>
      </w:pPr>
      <w:bookmarkStart w:id="2" w:name="_Toc124325886"/>
      <w:r>
        <w:rPr>
          <w:rFonts w:hint="eastAsia" w:ascii="彩虹粗仿宋" w:eastAsia="彩虹粗仿宋"/>
          <w:sz w:val="30"/>
        </w:rPr>
        <w:t>二、基金托管协议的依据、目的和原则</w:t>
      </w:r>
      <w:bookmarkEnd w:id="2"/>
    </w:p>
    <w:p>
      <w:pPr>
        <w:adjustRightInd w:val="0"/>
        <w:snapToGrid w:val="0"/>
        <w:ind w:firstLine="480" w:firstLineChars="200"/>
        <w:rPr>
          <w:rFonts w:ascii="彩虹粗仿宋" w:eastAsia="彩虹粗仿宋"/>
          <w:sz w:val="24"/>
          <w:szCs w:val="30"/>
        </w:rPr>
      </w:pPr>
      <w:r>
        <w:rPr>
          <w:rFonts w:hint="eastAsia" w:ascii="彩虹粗仿宋" w:hAnsi="宋体" w:eastAsia="彩虹粗仿宋" w:cs="Arial"/>
          <w:sz w:val="24"/>
        </w:rPr>
        <w:t>（一）订立托管协议的依据</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本协议依据《中华人民共和国证券投资基金法》(以下简称“《基金法》”)</w:t>
      </w:r>
      <w:r>
        <w:rPr>
          <w:rFonts w:hint="eastAsia"/>
        </w:rPr>
        <w:t xml:space="preserve"> </w:t>
      </w:r>
      <w:r>
        <w:rPr>
          <w:rFonts w:hint="eastAsia" w:ascii="彩虹粗仿宋" w:hAnsi="宋体" w:eastAsia="彩虹粗仿宋" w:cs="Arial"/>
          <w:sz w:val="24"/>
        </w:rPr>
        <w:t>、《公开募集证券投资基金运作管理办法》（以下简称“《运作办法》”）、《公开募集证券投资基金信息披露管理办法》（以下简称“《信息披露办法》”）、《公开募集开放式证券投资基金流动性风险管理规定》（以下简称“《流动性风险管理规定》”）等有关法律法规、《基金合同》及其他有关规定制订。</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（二）订立托管协议的目的</w:t>
      </w:r>
    </w:p>
    <w:p>
      <w:pPr>
        <w:adjustRightInd w:val="0"/>
        <w:snapToGrid w:val="0"/>
        <w:ind w:firstLine="480" w:firstLineChars="200"/>
        <w:rPr>
          <w:rFonts w:ascii="彩虹粗仿宋" w:eastAsia="彩虹粗仿宋"/>
          <w:sz w:val="24"/>
          <w:szCs w:val="30"/>
        </w:rPr>
      </w:pPr>
      <w:r>
        <w:rPr>
          <w:rFonts w:hint="eastAsia" w:ascii="彩虹粗仿宋" w:hAnsi="宋体" w:eastAsia="彩虹粗仿宋" w:cs="Arial"/>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（三）订立托管协议的原则</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基金管理人和基金托管人本着平等自愿、诚实信用、充分保护基金份额持有人合法权益的原则，经协商一致，签订本托管协议。</w:t>
      </w:r>
    </w:p>
    <w:p>
      <w:pPr>
        <w:rPr>
          <w:rFonts w:ascii="彩虹粗仿宋" w:eastAsia="彩虹粗仿宋"/>
          <w:sz w:val="24"/>
        </w:rPr>
      </w:pPr>
    </w:p>
    <w:p>
      <w:pPr>
        <w:pStyle w:val="2"/>
        <w:jc w:val="center"/>
        <w:rPr>
          <w:rFonts w:ascii="彩虹粗仿宋" w:eastAsia="彩虹粗仿宋"/>
          <w:sz w:val="30"/>
          <w:szCs w:val="24"/>
        </w:rPr>
      </w:pPr>
      <w:bookmarkStart w:id="3" w:name="_Toc124325887"/>
      <w:r>
        <w:rPr>
          <w:rFonts w:hint="eastAsia" w:ascii="彩虹粗仿宋" w:eastAsia="彩虹粗仿宋"/>
          <w:sz w:val="30"/>
        </w:rPr>
        <w:t>三、基金托管人对基金管理人的业务监督和核查</w:t>
      </w:r>
      <w:bookmarkEnd w:id="3"/>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一）基金托管人根据有关法律法规的规定及《基金合同》的约定，对基金投资范围、投资对象进行监督。《基金合同》明确约定基金投资风格或证券选择标准的，基金管理人应按照基金托管人要求的格式，将拟投资的标的证券库提供给基金托管人，基金管理人可以根据实际情况的变化，对标的证券库予以更新和调整并及时书面通知基金托管人。基金托管人根据上述投资范围对基金实际投资是否符合《基金合同》关于证券选择标准的约定进行监督。</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本基金的投资范围为具有良好流动性的金融工具，包括境内依法发行或上市交易的股票（包含主板、创业板及其他中国证监会允许基金投资的股票）、港股通标的股票、存托凭证、债券（含国债、金融债、企业债、公司债、央行票据、政府支持机构债、地方政府债、中期票据、短期融资券、超短期融资券、次级债、可转换债券、可交换债券及其他中国证监会允许基金投资的债券）、债券回购、银行存款（包括协议存款、定期存款等）、货币市场工具、同业存单、资产支持证券、股指期货以及法律法规或中国证监会允许基金投资的其他金融工具（但须符合中国证监会相关规定）。</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本基金可根据相关法律法规和基金合同的约定，参与融资业务。</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如法律法规或监管机构以后允许基金投资其他品种，基金管理人在履行适当程序后，可以将其纳入投资范围。</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基金的投资组合比例为：股票资产及存托凭证占基金资产的比例为60%-95%（其中，投资于港股通标的股票占股票资产的比例不超过50%），投资于本基金界定的制造升级主题相关股票占非现金资产的比例不低于80%；每个交易日日终在扣除股指期货合约需缴纳的交易保证金后，基金保留的现金以及投资于到期日在一年以内的政府债券的比例合计不低于基金资产净值的5%，其中现金不包括结算备付金、存出保证金、应收申购款等。</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bCs/>
          <w:sz w:val="24"/>
        </w:rPr>
        <w:t>如果法律法规或监管机构对该比例要求有变更的，本基金在履行适当程序后以变更后的比例为准，本基金的投资比例也会做相应调整。</w:t>
      </w:r>
    </w:p>
    <w:p>
      <w:pPr>
        <w:adjustRightInd w:val="0"/>
        <w:snapToGrid w:val="0"/>
        <w:ind w:firstLine="480" w:firstLineChars="200"/>
        <w:rPr>
          <w:rFonts w:ascii="彩虹粗仿宋" w:eastAsia="彩虹粗仿宋"/>
          <w:sz w:val="24"/>
        </w:rPr>
      </w:pPr>
      <w:r>
        <w:rPr>
          <w:rFonts w:hint="eastAsia" w:ascii="彩虹粗仿宋" w:eastAsia="彩虹粗仿宋"/>
          <w:sz w:val="24"/>
        </w:rPr>
        <w:t>（二）基金托管人根据有关法律法规的规定及《基金合同》的约定，对基金投资、融资比例进行监督。基金托管人按下述比例和调整期限进行监督：</w:t>
      </w:r>
    </w:p>
    <w:p>
      <w:pPr>
        <w:adjustRightInd w:val="0"/>
        <w:snapToGrid w:val="0"/>
        <w:ind w:firstLine="480" w:firstLineChars="200"/>
        <w:rPr>
          <w:rFonts w:ascii="彩虹粗仿宋" w:eastAsia="彩虹粗仿宋"/>
          <w:bCs/>
          <w:sz w:val="24"/>
        </w:rPr>
      </w:pPr>
      <w:r>
        <w:rPr>
          <w:rFonts w:ascii="彩虹粗仿宋" w:eastAsia="彩虹粗仿宋"/>
          <w:bCs/>
          <w:sz w:val="24"/>
        </w:rPr>
        <w:t>（1）</w:t>
      </w:r>
      <w:r>
        <w:rPr>
          <w:rFonts w:hint="eastAsia" w:ascii="彩虹粗仿宋" w:eastAsia="彩虹粗仿宋"/>
          <w:bCs/>
          <w:sz w:val="24"/>
        </w:rPr>
        <w:t>股票资产及存托凭证占基金资产的比例为</w:t>
      </w:r>
      <w:r>
        <w:rPr>
          <w:rFonts w:ascii="彩虹粗仿宋" w:eastAsia="彩虹粗仿宋"/>
          <w:bCs/>
          <w:sz w:val="24"/>
        </w:rPr>
        <w:t>60%-95%</w:t>
      </w:r>
      <w:r>
        <w:rPr>
          <w:rFonts w:hint="eastAsia" w:ascii="彩虹粗仿宋" w:eastAsia="彩虹粗仿宋"/>
          <w:bCs/>
          <w:sz w:val="24"/>
        </w:rPr>
        <w:t>（其中，投资于港股通标的股票占股票资产的比例不超过</w:t>
      </w:r>
      <w:r>
        <w:rPr>
          <w:rFonts w:ascii="彩虹粗仿宋" w:eastAsia="彩虹粗仿宋"/>
          <w:bCs/>
          <w:sz w:val="24"/>
        </w:rPr>
        <w:t>50%</w:t>
      </w:r>
      <w:r>
        <w:rPr>
          <w:rFonts w:hint="eastAsia" w:ascii="彩虹粗仿宋" w:eastAsia="彩虹粗仿宋"/>
          <w:bCs/>
          <w:sz w:val="24"/>
        </w:rPr>
        <w:t>），其中投资于本基金界定的制造升级主题相关的股票占非现金资产的比例不低于8</w:t>
      </w:r>
      <w:r>
        <w:rPr>
          <w:rFonts w:ascii="彩虹粗仿宋" w:eastAsia="彩虹粗仿宋"/>
          <w:bCs/>
          <w:sz w:val="24"/>
        </w:rPr>
        <w:t>0%</w:t>
      </w:r>
      <w:r>
        <w:rPr>
          <w:rFonts w:hint="eastAsia" w:ascii="彩虹粗仿宋" w:eastAsia="彩虹粗仿宋"/>
          <w:bCs/>
          <w:sz w:val="24"/>
        </w:rPr>
        <w:t>；</w:t>
      </w:r>
    </w:p>
    <w:p>
      <w:pPr>
        <w:adjustRightInd w:val="0"/>
        <w:snapToGrid w:val="0"/>
        <w:ind w:firstLine="480" w:firstLineChars="200"/>
        <w:rPr>
          <w:rFonts w:ascii="彩虹粗仿宋" w:eastAsia="彩虹粗仿宋"/>
          <w:bCs/>
          <w:sz w:val="24"/>
        </w:rPr>
      </w:pPr>
      <w:r>
        <w:rPr>
          <w:rFonts w:ascii="彩虹粗仿宋" w:eastAsia="彩虹粗仿宋"/>
          <w:bCs/>
          <w:sz w:val="24"/>
        </w:rPr>
        <w:t>（2）</w:t>
      </w:r>
      <w:r>
        <w:rPr>
          <w:rFonts w:hint="eastAsia" w:ascii="彩虹粗仿宋" w:eastAsia="彩虹粗仿宋"/>
          <w:sz w:val="24"/>
        </w:rPr>
        <w:t>每个交易日日终在扣除股指期货合约需缴纳的交易保证金后，基金保留的现金以及投资于到期日在一年以内的政府债券的比例合计不低于基金资产净值的5%，其中现金不包括结算备付金、存出保证金、应收申购款等</w:t>
      </w:r>
      <w:r>
        <w:rPr>
          <w:rFonts w:ascii="彩虹粗仿宋" w:eastAsia="彩虹粗仿宋"/>
          <w:bCs/>
          <w:sz w:val="24"/>
        </w:rPr>
        <w:t>；</w:t>
      </w:r>
    </w:p>
    <w:p>
      <w:pPr>
        <w:adjustRightInd w:val="0"/>
        <w:snapToGrid w:val="0"/>
        <w:ind w:firstLine="480" w:firstLineChars="200"/>
        <w:rPr>
          <w:rFonts w:ascii="彩虹粗仿宋" w:eastAsia="彩虹粗仿宋"/>
          <w:bCs/>
          <w:sz w:val="24"/>
        </w:rPr>
      </w:pPr>
      <w:r>
        <w:rPr>
          <w:rFonts w:ascii="彩虹粗仿宋" w:eastAsia="彩虹粗仿宋"/>
          <w:bCs/>
          <w:sz w:val="24"/>
        </w:rPr>
        <w:t>（3）本基金持有一家公司发行的证券</w:t>
      </w:r>
      <w:r>
        <w:rPr>
          <w:rFonts w:hint="eastAsia" w:ascii="彩虹粗仿宋" w:eastAsia="彩虹粗仿宋"/>
          <w:bCs/>
          <w:sz w:val="24"/>
        </w:rPr>
        <w:t>（同一家公司在内地和香港同时上市的</w:t>
      </w:r>
      <w:r>
        <w:rPr>
          <w:rFonts w:ascii="彩虹粗仿宋" w:eastAsia="彩虹粗仿宋"/>
          <w:bCs/>
          <w:sz w:val="24"/>
        </w:rPr>
        <w:t xml:space="preserve">A+H </w:t>
      </w:r>
      <w:r>
        <w:rPr>
          <w:rFonts w:hint="eastAsia" w:ascii="彩虹粗仿宋" w:eastAsia="彩虹粗仿宋"/>
          <w:bCs/>
          <w:sz w:val="24"/>
        </w:rPr>
        <w:t>股合计计算），其市值不超过基金资产净值的</w:t>
      </w:r>
      <w:r>
        <w:rPr>
          <w:rFonts w:ascii="彩虹粗仿宋" w:eastAsia="彩虹粗仿宋"/>
          <w:bCs/>
          <w:sz w:val="24"/>
        </w:rPr>
        <w:t>10%</w:t>
      </w:r>
      <w:r>
        <w:rPr>
          <w:rFonts w:hint="eastAsia" w:ascii="彩虹粗仿宋" w:eastAsia="彩虹粗仿宋"/>
          <w:bCs/>
          <w:sz w:val="24"/>
        </w:rPr>
        <w:t>；</w:t>
      </w:r>
    </w:p>
    <w:p>
      <w:pPr>
        <w:adjustRightInd w:val="0"/>
        <w:snapToGrid w:val="0"/>
        <w:ind w:firstLine="480" w:firstLineChars="200"/>
        <w:rPr>
          <w:rFonts w:ascii="彩虹粗仿宋" w:eastAsia="彩虹粗仿宋"/>
          <w:bCs/>
          <w:sz w:val="24"/>
        </w:rPr>
      </w:pPr>
      <w:r>
        <w:rPr>
          <w:rFonts w:ascii="彩虹粗仿宋" w:eastAsia="彩虹粗仿宋"/>
          <w:bCs/>
          <w:sz w:val="24"/>
        </w:rPr>
        <w:t>（4）本基金管理人管理</w:t>
      </w:r>
      <w:r>
        <w:rPr>
          <w:rFonts w:hint="eastAsia" w:ascii="彩虹粗仿宋" w:eastAsia="彩虹粗仿宋"/>
          <w:bCs/>
          <w:sz w:val="24"/>
        </w:rPr>
        <w:t>且在本基金托管人处托管</w:t>
      </w:r>
      <w:r>
        <w:rPr>
          <w:rFonts w:ascii="彩虹粗仿宋" w:eastAsia="彩虹粗仿宋"/>
          <w:bCs/>
          <w:sz w:val="24"/>
        </w:rPr>
        <w:t>的全部基金持有一家公司发行的证券</w:t>
      </w:r>
      <w:r>
        <w:rPr>
          <w:rFonts w:hint="eastAsia" w:ascii="彩虹粗仿宋" w:eastAsia="彩虹粗仿宋"/>
          <w:bCs/>
          <w:sz w:val="24"/>
        </w:rPr>
        <w:t>（同一家公司在内地和香港同时上市的</w:t>
      </w:r>
      <w:r>
        <w:rPr>
          <w:rFonts w:ascii="彩虹粗仿宋" w:eastAsia="彩虹粗仿宋"/>
          <w:bCs/>
          <w:sz w:val="24"/>
        </w:rPr>
        <w:t xml:space="preserve">A+H </w:t>
      </w:r>
      <w:r>
        <w:rPr>
          <w:rFonts w:hint="eastAsia" w:ascii="彩虹粗仿宋" w:eastAsia="彩虹粗仿宋"/>
          <w:bCs/>
          <w:sz w:val="24"/>
        </w:rPr>
        <w:t>股合计计算）</w:t>
      </w:r>
      <w:r>
        <w:rPr>
          <w:rFonts w:ascii="彩虹粗仿宋" w:eastAsia="彩虹粗仿宋"/>
          <w:bCs/>
          <w:sz w:val="24"/>
        </w:rPr>
        <w:t>，不超过该证券的10%，完全按照有关指数的构成比例进行证券投资的基金品种可以不受此条款规定的比例限制；</w:t>
      </w:r>
    </w:p>
    <w:p>
      <w:pPr>
        <w:adjustRightInd w:val="0"/>
        <w:snapToGrid w:val="0"/>
        <w:ind w:firstLine="480" w:firstLineChars="200"/>
        <w:rPr>
          <w:rFonts w:ascii="彩虹粗仿宋" w:eastAsia="彩虹粗仿宋"/>
          <w:bCs/>
          <w:sz w:val="24"/>
        </w:rPr>
      </w:pPr>
      <w:r>
        <w:rPr>
          <w:rFonts w:ascii="彩虹粗仿宋" w:eastAsia="彩虹粗仿宋"/>
          <w:bCs/>
          <w:sz w:val="24"/>
        </w:rPr>
        <w:t>（5）本基金投资于同一原始权益人的各类资产支持证券的比例，不得超过基金资产净值的10%；</w:t>
      </w:r>
    </w:p>
    <w:p>
      <w:pPr>
        <w:adjustRightInd w:val="0"/>
        <w:snapToGrid w:val="0"/>
        <w:ind w:firstLine="480" w:firstLineChars="200"/>
        <w:rPr>
          <w:rFonts w:ascii="彩虹粗仿宋" w:eastAsia="彩虹粗仿宋"/>
          <w:bCs/>
          <w:sz w:val="24"/>
        </w:rPr>
      </w:pPr>
      <w:r>
        <w:rPr>
          <w:rFonts w:ascii="彩虹粗仿宋" w:eastAsia="彩虹粗仿宋"/>
          <w:bCs/>
          <w:sz w:val="24"/>
        </w:rPr>
        <w:t>（6）本基金持有的全部资产支持证券，其市值不得超过基金资产净值的20%</w:t>
      </w:r>
      <w:r>
        <w:rPr>
          <w:rFonts w:hint="eastAsia" w:ascii="彩虹粗仿宋" w:eastAsia="彩虹粗仿宋"/>
          <w:bCs/>
          <w:sz w:val="24"/>
        </w:rPr>
        <w:t>，中国证监会规定的特殊品种除外</w:t>
      </w:r>
      <w:r>
        <w:rPr>
          <w:rFonts w:ascii="彩虹粗仿宋" w:eastAsia="彩虹粗仿宋"/>
          <w:bCs/>
          <w:sz w:val="24"/>
        </w:rPr>
        <w:t>；</w:t>
      </w:r>
    </w:p>
    <w:p>
      <w:pPr>
        <w:adjustRightInd w:val="0"/>
        <w:snapToGrid w:val="0"/>
        <w:ind w:firstLine="480" w:firstLineChars="200"/>
        <w:rPr>
          <w:rFonts w:ascii="彩虹粗仿宋" w:eastAsia="彩虹粗仿宋"/>
          <w:bCs/>
          <w:sz w:val="24"/>
        </w:rPr>
      </w:pPr>
      <w:r>
        <w:rPr>
          <w:rFonts w:ascii="彩虹粗仿宋" w:eastAsia="彩虹粗仿宋"/>
          <w:bCs/>
          <w:sz w:val="24"/>
        </w:rPr>
        <w:t>（7）本基金持有的同一（指同一信用级别）资产支持证券的比例，不得超过该资产支持证券规模的10%；</w:t>
      </w:r>
    </w:p>
    <w:p>
      <w:pPr>
        <w:adjustRightInd w:val="0"/>
        <w:snapToGrid w:val="0"/>
        <w:ind w:firstLine="480" w:firstLineChars="200"/>
        <w:rPr>
          <w:rFonts w:ascii="彩虹粗仿宋" w:eastAsia="彩虹粗仿宋"/>
          <w:bCs/>
          <w:sz w:val="24"/>
        </w:rPr>
      </w:pPr>
      <w:r>
        <w:rPr>
          <w:rFonts w:ascii="彩虹粗仿宋" w:eastAsia="彩虹粗仿宋"/>
          <w:bCs/>
          <w:sz w:val="24"/>
        </w:rPr>
        <w:t>（8）本基金管理人管理</w:t>
      </w:r>
      <w:r>
        <w:rPr>
          <w:rFonts w:hint="eastAsia" w:ascii="彩虹粗仿宋" w:eastAsia="彩虹粗仿宋"/>
          <w:bCs/>
          <w:sz w:val="24"/>
        </w:rPr>
        <w:t>且在本基金托管人处托管</w:t>
      </w:r>
      <w:r>
        <w:rPr>
          <w:rFonts w:ascii="彩虹粗仿宋" w:eastAsia="彩虹粗仿宋"/>
          <w:bCs/>
          <w:sz w:val="24"/>
        </w:rPr>
        <w:t>的全部基金投资于同一原始权益人的各类资产支持证券，不得超过其各类资产支持证券合计规模的10%；</w:t>
      </w:r>
    </w:p>
    <w:p>
      <w:pPr>
        <w:adjustRightInd w:val="0"/>
        <w:snapToGrid w:val="0"/>
        <w:ind w:firstLine="480" w:firstLineChars="200"/>
        <w:rPr>
          <w:rFonts w:ascii="彩虹粗仿宋" w:eastAsia="彩虹粗仿宋"/>
          <w:bCs/>
          <w:sz w:val="24"/>
        </w:rPr>
      </w:pPr>
      <w:r>
        <w:rPr>
          <w:rFonts w:ascii="彩虹粗仿宋" w:eastAsia="彩虹粗仿宋"/>
          <w:bCs/>
          <w:sz w:val="24"/>
        </w:rPr>
        <w:t>（9）本基金应投资于信用级别评级为BBB以上（含BBB）的资产支持证券。基金持有资产支持证券期间，如果其信用等级下降、不再符合投资标准，应在评级报告发布之日起3个月内予以全部卖出；</w:t>
      </w:r>
    </w:p>
    <w:p>
      <w:pPr>
        <w:adjustRightInd w:val="0"/>
        <w:snapToGrid w:val="0"/>
        <w:ind w:firstLine="480" w:firstLineChars="200"/>
        <w:rPr>
          <w:rFonts w:ascii="彩虹粗仿宋" w:eastAsia="彩虹粗仿宋"/>
          <w:bCs/>
          <w:sz w:val="24"/>
        </w:rPr>
      </w:pPr>
      <w:r>
        <w:rPr>
          <w:rFonts w:ascii="彩虹粗仿宋" w:eastAsia="彩虹粗仿宋"/>
          <w:bCs/>
          <w:sz w:val="24"/>
        </w:rPr>
        <w:t>（10）基金财产参与股票发行申购，本基金所申报的金额不超过本基金的总资产，本基金所申报的股票数量不超过拟发行股票公司本次发行股票的总量；</w:t>
      </w:r>
    </w:p>
    <w:p>
      <w:pPr>
        <w:adjustRightInd w:val="0"/>
        <w:snapToGrid w:val="0"/>
        <w:ind w:firstLine="480" w:firstLineChars="200"/>
        <w:rPr>
          <w:rFonts w:ascii="彩虹粗仿宋" w:eastAsia="彩虹粗仿宋"/>
          <w:bCs/>
          <w:sz w:val="24"/>
        </w:rPr>
      </w:pPr>
      <w:r>
        <w:rPr>
          <w:rFonts w:ascii="彩虹粗仿宋" w:eastAsia="彩虹粗仿宋"/>
          <w:bCs/>
          <w:sz w:val="24"/>
        </w:rPr>
        <w:t>（11）本基金管理人管理</w:t>
      </w:r>
      <w:r>
        <w:rPr>
          <w:rFonts w:hint="eastAsia" w:ascii="彩虹粗仿宋" w:eastAsia="彩虹粗仿宋"/>
          <w:bCs/>
          <w:sz w:val="24"/>
        </w:rPr>
        <w:t>且在本基金托管人处托管</w:t>
      </w:r>
      <w:r>
        <w:rPr>
          <w:rFonts w:ascii="彩虹粗仿宋" w:eastAsia="彩虹粗仿宋"/>
          <w:bCs/>
          <w:sz w:val="24"/>
        </w:rPr>
        <w:t>的全部开放式基金持有一家上市公司发行的可流通股票，不得超过该上市公司可流通股票的15%；本基金管理人管理</w:t>
      </w:r>
      <w:r>
        <w:rPr>
          <w:rFonts w:hint="eastAsia" w:ascii="彩虹粗仿宋" w:eastAsia="彩虹粗仿宋"/>
          <w:bCs/>
          <w:sz w:val="24"/>
        </w:rPr>
        <w:t>且在本基金托管人处托管</w:t>
      </w:r>
      <w:r>
        <w:rPr>
          <w:rFonts w:ascii="彩虹粗仿宋" w:eastAsia="彩虹粗仿宋"/>
          <w:bCs/>
          <w:sz w:val="24"/>
        </w:rPr>
        <w:t>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adjustRightInd w:val="0"/>
        <w:snapToGrid w:val="0"/>
        <w:ind w:firstLine="480" w:firstLineChars="200"/>
        <w:rPr>
          <w:rFonts w:ascii="彩虹粗仿宋" w:eastAsia="彩虹粗仿宋"/>
          <w:bCs/>
          <w:sz w:val="24"/>
        </w:rPr>
      </w:pPr>
      <w:r>
        <w:rPr>
          <w:rFonts w:ascii="彩虹粗仿宋" w:eastAsia="彩虹粗仿宋"/>
          <w:bCs/>
          <w:sz w:val="24"/>
        </w:rPr>
        <w:t>（12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adjustRightInd w:val="0"/>
        <w:snapToGrid w:val="0"/>
        <w:ind w:firstLine="480" w:firstLineChars="200"/>
        <w:rPr>
          <w:rFonts w:ascii="彩虹粗仿宋" w:eastAsia="彩虹粗仿宋"/>
          <w:bCs/>
          <w:sz w:val="24"/>
        </w:rPr>
      </w:pPr>
      <w:r>
        <w:rPr>
          <w:rFonts w:ascii="彩虹粗仿宋" w:eastAsia="彩虹粗仿宋"/>
          <w:bCs/>
          <w:sz w:val="24"/>
        </w:rPr>
        <w:t>（13）本基金资产总值不超过基金资产净值的140%；</w:t>
      </w:r>
    </w:p>
    <w:p>
      <w:pPr>
        <w:adjustRightInd w:val="0"/>
        <w:snapToGrid w:val="0"/>
        <w:ind w:firstLine="480" w:firstLineChars="200"/>
        <w:rPr>
          <w:rFonts w:ascii="彩虹粗仿宋" w:eastAsia="彩虹粗仿宋"/>
          <w:bCs/>
          <w:sz w:val="24"/>
        </w:rPr>
      </w:pPr>
      <w:r>
        <w:rPr>
          <w:rFonts w:hint="eastAsia" w:ascii="彩虹粗仿宋" w:eastAsia="彩虹粗仿宋"/>
          <w:bCs/>
          <w:sz w:val="24"/>
        </w:rPr>
        <w:t>（1</w:t>
      </w:r>
      <w:r>
        <w:rPr>
          <w:rFonts w:ascii="彩虹粗仿宋" w:eastAsia="彩虹粗仿宋"/>
          <w:bCs/>
          <w:sz w:val="24"/>
        </w:rPr>
        <w:t>4</w:t>
      </w:r>
      <w:r>
        <w:rPr>
          <w:rFonts w:hint="eastAsia" w:ascii="彩虹粗仿宋" w:eastAsia="彩虹粗仿宋"/>
          <w:bCs/>
          <w:sz w:val="24"/>
        </w:rPr>
        <w:t>）若本基金参与股指期货交易，应当遵守下列要求：</w:t>
      </w:r>
    </w:p>
    <w:p>
      <w:pPr>
        <w:adjustRightInd w:val="0"/>
        <w:snapToGrid w:val="0"/>
        <w:ind w:firstLine="480" w:firstLineChars="200"/>
        <w:rPr>
          <w:rFonts w:ascii="彩虹粗仿宋" w:eastAsia="彩虹粗仿宋"/>
          <w:bCs/>
          <w:sz w:val="24"/>
        </w:rPr>
      </w:pPr>
      <w:r>
        <w:rPr>
          <w:rFonts w:hint="eastAsia" w:ascii="彩虹粗仿宋" w:eastAsia="彩虹粗仿宋"/>
          <w:bCs/>
          <w:sz w:val="24"/>
        </w:rPr>
        <w:t>a.本基金在任何交易日日终，持有的买入股指期货合约价值，不得超过基金资产净值的10%；</w:t>
      </w:r>
    </w:p>
    <w:p>
      <w:pPr>
        <w:adjustRightInd w:val="0"/>
        <w:snapToGrid w:val="0"/>
        <w:ind w:firstLine="480" w:firstLineChars="200"/>
        <w:rPr>
          <w:rFonts w:ascii="彩虹粗仿宋" w:eastAsia="彩虹粗仿宋"/>
          <w:bCs/>
          <w:sz w:val="24"/>
        </w:rPr>
      </w:pPr>
      <w:r>
        <w:rPr>
          <w:rFonts w:hint="eastAsia" w:ascii="彩虹粗仿宋" w:eastAsia="彩虹粗仿宋"/>
          <w:bCs/>
          <w:sz w:val="24"/>
        </w:rPr>
        <w:t>b.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pPr>
        <w:adjustRightInd w:val="0"/>
        <w:snapToGrid w:val="0"/>
        <w:ind w:firstLine="480" w:firstLineChars="200"/>
        <w:rPr>
          <w:rFonts w:ascii="彩虹粗仿宋" w:eastAsia="彩虹粗仿宋"/>
          <w:bCs/>
          <w:sz w:val="24"/>
        </w:rPr>
      </w:pPr>
      <w:r>
        <w:rPr>
          <w:rFonts w:hint="eastAsia" w:ascii="彩虹粗仿宋" w:eastAsia="彩虹粗仿宋"/>
          <w:bCs/>
          <w:sz w:val="24"/>
        </w:rPr>
        <w:t>c.本基金在任何交易日日终，持有的卖出股指期货合约价值不得超过基金持有的股票总市值的20%；</w:t>
      </w:r>
    </w:p>
    <w:p>
      <w:pPr>
        <w:adjustRightInd w:val="0"/>
        <w:snapToGrid w:val="0"/>
        <w:ind w:firstLine="480" w:firstLineChars="200"/>
        <w:rPr>
          <w:rFonts w:ascii="彩虹粗仿宋" w:eastAsia="彩虹粗仿宋"/>
          <w:bCs/>
          <w:sz w:val="24"/>
        </w:rPr>
      </w:pPr>
      <w:r>
        <w:rPr>
          <w:rFonts w:hint="eastAsia" w:ascii="彩虹粗仿宋" w:eastAsia="彩虹粗仿宋"/>
          <w:bCs/>
          <w:sz w:val="24"/>
        </w:rPr>
        <w:t>d.本基金所持有的股票市值和买入、卖出股指期货合约价值，合计（轧差计算）应当符合基金合同关于股票投资比例的有关约定；</w:t>
      </w:r>
    </w:p>
    <w:p>
      <w:pPr>
        <w:adjustRightInd w:val="0"/>
        <w:snapToGrid w:val="0"/>
        <w:ind w:firstLine="480" w:firstLineChars="200"/>
        <w:rPr>
          <w:rFonts w:ascii="彩虹粗仿宋" w:eastAsia="彩虹粗仿宋"/>
          <w:bCs/>
          <w:sz w:val="24"/>
        </w:rPr>
      </w:pPr>
      <w:r>
        <w:rPr>
          <w:rFonts w:hint="eastAsia" w:ascii="彩虹粗仿宋" w:eastAsia="彩虹粗仿宋"/>
          <w:bCs/>
          <w:sz w:val="24"/>
        </w:rPr>
        <w:t>e.本基金在任何交易日内交易（不包括平仓）的股指期货合约的成交金额不得超过上一交易日基金资产净值的20%；</w:t>
      </w:r>
    </w:p>
    <w:p>
      <w:pPr>
        <w:adjustRightInd w:val="0"/>
        <w:snapToGrid w:val="0"/>
        <w:ind w:firstLine="480" w:firstLineChars="200"/>
        <w:rPr>
          <w:rFonts w:ascii="彩虹粗仿宋" w:eastAsia="彩虹粗仿宋"/>
          <w:bCs/>
          <w:sz w:val="24"/>
        </w:rPr>
      </w:pPr>
      <w:r>
        <w:rPr>
          <w:rFonts w:hint="eastAsia" w:ascii="彩虹粗仿宋" w:eastAsia="彩虹粗仿宋"/>
          <w:bCs/>
          <w:sz w:val="24"/>
        </w:rPr>
        <w:t>（1</w:t>
      </w:r>
      <w:r>
        <w:rPr>
          <w:rFonts w:ascii="彩虹粗仿宋" w:eastAsia="彩虹粗仿宋"/>
          <w:bCs/>
          <w:sz w:val="24"/>
        </w:rPr>
        <w:t>5</w:t>
      </w:r>
      <w:r>
        <w:rPr>
          <w:rFonts w:hint="eastAsia" w:ascii="彩虹粗仿宋" w:eastAsia="彩虹粗仿宋"/>
          <w:bCs/>
          <w:sz w:val="24"/>
        </w:rPr>
        <w:t>）本基金参与融资的，每个交易日日终，本基金持有的融资买入股票与其他有价证券市值之和，不得超过基金资产净值的95%；</w:t>
      </w:r>
    </w:p>
    <w:p>
      <w:pPr>
        <w:adjustRightInd w:val="0"/>
        <w:snapToGrid w:val="0"/>
        <w:ind w:firstLine="480" w:firstLineChars="200"/>
        <w:rPr>
          <w:rFonts w:ascii="彩虹粗仿宋" w:eastAsia="彩虹粗仿宋"/>
          <w:bCs/>
          <w:sz w:val="24"/>
        </w:rPr>
      </w:pPr>
      <w:r>
        <w:rPr>
          <w:rFonts w:hint="eastAsia" w:ascii="彩虹粗仿宋" w:eastAsia="彩虹粗仿宋"/>
          <w:bCs/>
          <w:sz w:val="24"/>
        </w:rPr>
        <w:t>（1</w:t>
      </w:r>
      <w:r>
        <w:rPr>
          <w:rFonts w:ascii="彩虹粗仿宋" w:eastAsia="彩虹粗仿宋"/>
          <w:bCs/>
          <w:sz w:val="24"/>
        </w:rPr>
        <w:t>6</w:t>
      </w:r>
      <w:r>
        <w:rPr>
          <w:rFonts w:hint="eastAsia" w:ascii="彩虹粗仿宋" w:eastAsia="彩虹粗仿宋"/>
          <w:bCs/>
          <w:sz w:val="24"/>
        </w:rPr>
        <w:t>）本基金投资存托凭证的比例限制依照境内上市交易的股票执行，与境内上市交易的股票合并计算；</w:t>
      </w:r>
    </w:p>
    <w:p>
      <w:pPr>
        <w:adjustRightInd w:val="0"/>
        <w:snapToGrid w:val="0"/>
        <w:ind w:firstLine="480" w:firstLineChars="200"/>
        <w:rPr>
          <w:rFonts w:ascii="彩虹粗仿宋" w:eastAsia="彩虹粗仿宋"/>
          <w:bCs/>
          <w:sz w:val="24"/>
        </w:rPr>
      </w:pPr>
      <w:r>
        <w:rPr>
          <w:rFonts w:ascii="彩虹粗仿宋" w:eastAsia="彩虹粗仿宋"/>
          <w:bCs/>
          <w:sz w:val="24"/>
        </w:rPr>
        <w:t>（17）法律法规及中国证监会规定的和《基金合同》约定的其他投资限制。</w:t>
      </w:r>
    </w:p>
    <w:p>
      <w:pPr>
        <w:adjustRightInd w:val="0"/>
        <w:snapToGrid w:val="0"/>
        <w:ind w:firstLine="480" w:firstLineChars="200"/>
        <w:rPr>
          <w:rFonts w:ascii="彩虹粗仿宋" w:eastAsia="彩虹粗仿宋"/>
          <w:bCs/>
          <w:sz w:val="24"/>
        </w:rPr>
      </w:pPr>
      <w:r>
        <w:rPr>
          <w:rFonts w:ascii="彩虹粗仿宋" w:eastAsia="彩虹粗仿宋"/>
          <w:bCs/>
          <w:sz w:val="24"/>
        </w:rPr>
        <w:t>除上述第（2）、（</w:t>
      </w:r>
      <w:r>
        <w:rPr>
          <w:rFonts w:hint="eastAsia" w:ascii="彩虹粗仿宋" w:eastAsia="彩虹粗仿宋"/>
          <w:bCs/>
          <w:sz w:val="24"/>
        </w:rPr>
        <w:t>9</w:t>
      </w:r>
      <w:r>
        <w:rPr>
          <w:rFonts w:ascii="彩虹粗仿宋" w:eastAsia="彩虹粗仿宋"/>
          <w:bCs/>
          <w:sz w:val="24"/>
        </w:rPr>
        <w:t>）、（12）项情形之外，因证券</w:t>
      </w:r>
      <w:r>
        <w:rPr>
          <w:rFonts w:hint="eastAsia" w:ascii="彩虹粗仿宋" w:eastAsia="彩虹粗仿宋"/>
          <w:bCs/>
          <w:sz w:val="24"/>
        </w:rPr>
        <w:t>/期货</w:t>
      </w:r>
      <w:r>
        <w:rPr>
          <w:rFonts w:ascii="彩虹粗仿宋" w:eastAsia="彩虹粗仿宋"/>
          <w:bCs/>
          <w:sz w:val="24"/>
        </w:rPr>
        <w:t>市场波动、证券发行人合并、基金规模变动等基金管理人之外的因素致使基金投资比例不符合上述规定投资比例的，基金管理人应当在10个交易日内进行调整，但中国证监会规定的特殊情形除外。</w:t>
      </w:r>
    </w:p>
    <w:p>
      <w:pPr>
        <w:adjustRightInd w:val="0"/>
        <w:snapToGrid w:val="0"/>
        <w:ind w:firstLine="480" w:firstLineChars="200"/>
        <w:rPr>
          <w:rFonts w:ascii="彩虹粗仿宋" w:eastAsia="彩虹粗仿宋"/>
          <w:bCs/>
          <w:sz w:val="24"/>
        </w:rPr>
      </w:pPr>
      <w:r>
        <w:rPr>
          <w:rFonts w:ascii="彩虹粗仿宋" w:eastAsia="彩虹粗仿宋"/>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（三）基金托管人</w:t>
      </w:r>
      <w:bookmarkStart w:id="4" w:name="OLE_LINK1"/>
      <w:r>
        <w:rPr>
          <w:rFonts w:hint="eastAsia" w:ascii="彩虹粗仿宋" w:hAnsi="宋体" w:eastAsia="彩虹粗仿宋" w:cs="Arial"/>
          <w:sz w:val="24"/>
        </w:rPr>
        <w:t>根据有关法律法规的规定及《基金合同》的约定，</w:t>
      </w:r>
      <w:bookmarkEnd w:id="4"/>
      <w:r>
        <w:rPr>
          <w:rFonts w:hint="eastAsia" w:ascii="彩虹粗仿宋" w:hAnsi="宋体" w:eastAsia="彩虹粗仿宋" w:cs="Arial"/>
          <w:sz w:val="24"/>
        </w:rPr>
        <w:t>对本托管协议第十五条第（九）款基金投资禁止行为通过事后监督方式进行监督。</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如法律法规或监管部门取消或调整上述禁止性规定，基金管理人在履行适当程序后，本基金可不受上述规定的限制或按调整后的规定执行，不需经基金份额持有人大会审议，但须提前公告。</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（四）基金托管人根据有关法律法规的规定及《基金合同》的约定，对基金管理人投资流通受限证券进行监督。</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 xml:space="preserve">基金管理人投资流通受限证券，应事先根据中国证监会相关规定，明确基金投资流通受限证券的比例，制订严格的投资决策流程和风险控制制度，防范流动性风险、法律风险和操作风险等各种风险。基金投资流通受限证券，应遵守《关于基金投资非公开发行股票等流通受限证券有关问题的通知》等有关法律法规规定。 </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w:t>
      </w:r>
      <w:r>
        <w:rPr>
          <w:rFonts w:hint="eastAsia" w:ascii="彩虹粗仿宋" w:hAnsi="宋体" w:eastAsia="彩虹粗仿宋" w:cs="Arial"/>
          <w:sz w:val="24"/>
        </w:rPr>
        <w:t>。</w:t>
      </w:r>
      <w:r>
        <w:rPr>
          <w:rFonts w:ascii="彩虹粗仿宋" w:hAnsi="宋体" w:eastAsia="彩虹粗仿宋" w:cs="Arial"/>
          <w:sz w:val="24"/>
        </w:rPr>
        <w:t>本基金不投资有锁定期但锁定期不明确的证券。</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本基金投资的流通受限证券限于可由中国证券登记结算有限责任公司或中央国债登记结算有限责任公司负责登记和存管，并可在证券交易所或全国银行间债 券市场交易的证券。</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本基金投资流通受限证券，不得预付任何形式的保证金，若法规有新规定的按照新的规定执行。</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 xml:space="preserve">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 </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 xml:space="preserve">3.本基金投资非公开发行股票，基金管理人应至少于投资前三个工作日向基金 托管人提交有关书面资料，并保证向基金托管人提供的有关资料真实、准确、完整。有关资料如有调整，基金管理人应及时提供调整后的资料。上述书面资料包括但不限于： </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 xml:space="preserve">（1）中国证监会批准发行非公开发行股票的批准文件。 </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 xml:space="preserve">（2）非公开发行股票有关发行数量、发行价格、锁定期等发行资料。 </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 xml:space="preserve">（3）基金拟认购的数量、价格、总成本、账面价值。 </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4.基金管理人应在本基金投资非公开发行股票后两个交易日内，在中国证监会规定媒介披露所投资非公开发行股票的名称、数量、总成本、账面价值，以及总成本和账面价值占基金资产净值的比例、锁定期等信息。</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 xml:space="preserve">本基金有关投资流通受限证券比例如违反有关限制规定，在合理期限内未能进行及时调整，基金管理人应在两日内编制临时报告书，予以公告。 </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5.相关法律法规对基金投资流通受限证券有新规定的，从其规定。</w:t>
      </w:r>
    </w:p>
    <w:p>
      <w:pPr>
        <w:adjustRightInd w:val="0"/>
        <w:snapToGrid w:val="0"/>
        <w:rPr>
          <w:rFonts w:ascii="彩虹粗仿宋" w:hAnsi="宋体" w:eastAsia="彩虹粗仿宋" w:cs="Arial"/>
          <w:sz w:val="24"/>
        </w:rPr>
      </w:pPr>
      <w:r>
        <w:rPr>
          <w:rFonts w:hint="eastAsia" w:ascii="彩虹粗仿宋" w:hAnsi="宋体" w:eastAsia="彩虹粗仿宋" w:cs="Arial"/>
          <w:sz w:val="24"/>
        </w:rPr>
        <w:t xml:space="preserve"> </w:t>
      </w:r>
      <w:r>
        <w:rPr>
          <w:rFonts w:ascii="彩虹粗仿宋" w:hAnsi="宋体" w:eastAsia="彩虹粗仿宋" w:cs="Arial"/>
          <w:sz w:val="24"/>
        </w:rPr>
        <w:t xml:space="preserve">   </w:t>
      </w:r>
      <w:r>
        <w:rPr>
          <w:rFonts w:hint="eastAsia" w:ascii="彩虹粗仿宋" w:hAnsi="宋体" w:eastAsia="彩虹粗仿宋" w:cs="Arial"/>
          <w:sz w:val="24"/>
        </w:rPr>
        <w:t>（五）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个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（八）若基金托管人发现基金管理人依据交易程序已经生效的指令违反法律、行政法规和其他有关规定，或者违反《基金合同》约定的，应当及时通知基金管理人，由此造成的损失由基金管理人承担。</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九）基金托管人发现基金管理人有重大违规行为，应及时报告中国证监会，同时通知基金管理人限期纠正，并将纠正结果报告中国证监会。基金管理人无正当理由，拒绝、阻挠基金托管人根据本托管协议规定行使监督权，或采取拖延、欺诈等手段妨碍基金托管人进行有效监督，情节严重或经基金托管人提出警告仍不改正的，基金托管人应报告中国证监会。</w:t>
      </w:r>
    </w:p>
    <w:p>
      <w:pPr>
        <w:rPr>
          <w:rFonts w:ascii="彩虹粗仿宋" w:eastAsia="彩虹粗仿宋"/>
          <w:sz w:val="24"/>
        </w:rPr>
      </w:pPr>
    </w:p>
    <w:p>
      <w:pPr>
        <w:pStyle w:val="2"/>
        <w:jc w:val="center"/>
        <w:rPr>
          <w:rFonts w:ascii="彩虹粗仿宋" w:eastAsia="彩虹粗仿宋"/>
          <w:sz w:val="30"/>
        </w:rPr>
      </w:pPr>
      <w:bookmarkStart w:id="5" w:name="_Toc120435783"/>
      <w:bookmarkStart w:id="6" w:name="_Toc86649722"/>
      <w:bookmarkStart w:id="7" w:name="_Toc110765660"/>
      <w:bookmarkStart w:id="8" w:name="_Toc86737929"/>
      <w:bookmarkStart w:id="9" w:name="_Toc89163368"/>
      <w:bookmarkStart w:id="10" w:name="_Toc110830492"/>
      <w:bookmarkStart w:id="11" w:name="_Toc86225291"/>
      <w:bookmarkStart w:id="12" w:name="_Toc118212950"/>
      <w:bookmarkStart w:id="13" w:name="_Toc119402710"/>
      <w:bookmarkStart w:id="14" w:name="_Toc86223242"/>
      <w:bookmarkStart w:id="15" w:name="_Toc124325888"/>
      <w:bookmarkStart w:id="16" w:name="_Toc110761796"/>
      <w:bookmarkStart w:id="17" w:name="_Toc118774803"/>
      <w:bookmarkStart w:id="18" w:name="_Toc86727355"/>
      <w:bookmarkStart w:id="19" w:name="_Toc118972648"/>
      <w:bookmarkStart w:id="20" w:name="_Toc86726439"/>
      <w:bookmarkStart w:id="21" w:name="_Toc108512358"/>
      <w:r>
        <w:rPr>
          <w:rFonts w:hint="eastAsia" w:ascii="彩虹粗仿宋" w:eastAsia="彩虹粗仿宋"/>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一）基金管理人对基金托管人履行托管职责情况进行核查，核查事项包括基金托管人安全保管基金财产、开设基金财产的资金账户、证券账户等投资所需账户、复核基金管理人计算的基金资产净值和各类基金份额净值、根据基金管理人指令办理清算交收、相关信息披露和监督基金投资运作等行为。</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或其他双方认可的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基金财产的完整性和真实性，在规定时间内答复基金管理人并改正。</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pPr>
        <w:rPr>
          <w:rFonts w:ascii="彩虹粗仿宋" w:eastAsia="彩虹粗仿宋"/>
          <w:sz w:val="24"/>
        </w:rPr>
      </w:pPr>
    </w:p>
    <w:p>
      <w:pPr>
        <w:pStyle w:val="2"/>
        <w:jc w:val="center"/>
        <w:rPr>
          <w:rFonts w:ascii="彩虹粗仿宋" w:eastAsia="彩虹粗仿宋"/>
          <w:sz w:val="30"/>
        </w:rPr>
      </w:pPr>
      <w:bookmarkStart w:id="22" w:name="_Toc86649723"/>
      <w:bookmarkStart w:id="23" w:name="_Toc119402711"/>
      <w:bookmarkStart w:id="24" w:name="_Toc120435784"/>
      <w:bookmarkStart w:id="25" w:name="_Toc110761797"/>
      <w:bookmarkStart w:id="26" w:name="_Toc86204789"/>
      <w:bookmarkStart w:id="27" w:name="_Toc118972649"/>
      <w:bookmarkStart w:id="28" w:name="_Toc86225292"/>
      <w:bookmarkStart w:id="29" w:name="_Toc84133786"/>
      <w:bookmarkStart w:id="30" w:name="_Toc108512359"/>
      <w:bookmarkStart w:id="31" w:name="_Toc118774804"/>
      <w:bookmarkStart w:id="32" w:name="_Toc86726440"/>
      <w:bookmarkStart w:id="33" w:name="_Toc110765661"/>
      <w:bookmarkStart w:id="34" w:name="_Toc89163369"/>
      <w:bookmarkStart w:id="35" w:name="_Toc118212951"/>
      <w:bookmarkStart w:id="36" w:name="_Toc124325889"/>
      <w:bookmarkStart w:id="37" w:name="_Toc84234388"/>
      <w:bookmarkStart w:id="38" w:name="_Toc86727356"/>
      <w:bookmarkStart w:id="39" w:name="_Toc86223243"/>
      <w:bookmarkStart w:id="40" w:name="_Toc86737930"/>
      <w:bookmarkStart w:id="41" w:name="_Toc110830493"/>
      <w:bookmarkStart w:id="42" w:name="_Toc84234435"/>
      <w:r>
        <w:rPr>
          <w:rFonts w:hint="eastAsia" w:ascii="彩虹粗仿宋" w:eastAsia="彩虹粗仿宋"/>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（一）基金财产保管的原则</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1.基金财产应独立于基金管理人、基金托管人和证券经纪机构的固有财产。</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2.基金托管人应安全保管基金财产。</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3.基金托管人按照规定开设基金财产的资金账户、证券账户等投资所需账户。</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4.基金托管人对所托管的不同基金财产分别设置账户，分账管理，独立核算，确保基金财产的完整与独立。</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5.</w:t>
      </w:r>
      <w:r>
        <w:t xml:space="preserve"> </w:t>
      </w:r>
      <w:r>
        <w:rPr>
          <w:rFonts w:ascii="彩虹粗仿宋" w:hAnsi="宋体" w:eastAsia="彩虹粗仿宋" w:cs="Arial"/>
          <w:sz w:val="24"/>
        </w:rPr>
        <w:t>基金托管人按照《基金合同》和本协议的约定保管基金财产，如有特殊情况双方可另行协商解决。基金托管人未经基金管理人的指令，不得自行运用、处分、分配本基金的任何资产（不包含基金托管人开户银行或交易/登记结算机构扣收交易费、结算费和账户维护费等费用）。</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但应给予必要的协助与配合。</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7.除依据法律法规和《基金合同》的规定外，基金托管人不得委托第三人托管基金财产。</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（二）基金募集期间及募集资金的验资</w:t>
      </w:r>
    </w:p>
    <w:p>
      <w:pPr>
        <w:adjustRightInd w:val="0"/>
        <w:snapToGrid w:val="0"/>
        <w:ind w:firstLine="480"/>
        <w:rPr>
          <w:rFonts w:ascii="彩虹粗仿宋" w:hAnsi="宋体" w:eastAsia="彩虹粗仿宋" w:cs="Arial"/>
          <w:sz w:val="24"/>
        </w:rPr>
      </w:pPr>
      <w:r>
        <w:rPr>
          <w:rFonts w:ascii="彩虹粗仿宋" w:hAnsi="宋体" w:eastAsia="彩虹粗仿宋" w:cs="Arial"/>
          <w:sz w:val="24"/>
        </w:rPr>
        <w:t xml:space="preserve">1.基金募集期间募集的资金应存于基金管理人在基金托管人的营业机构开立的“基金募集专户”。该账户由基金管理人开立并管理。 </w:t>
      </w:r>
    </w:p>
    <w:p>
      <w:pPr>
        <w:adjustRightInd w:val="0"/>
        <w:snapToGrid w:val="0"/>
        <w:ind w:firstLine="480"/>
        <w:rPr>
          <w:rFonts w:ascii="彩虹粗仿宋" w:hAnsi="宋体" w:eastAsia="彩虹粗仿宋" w:cs="Arial"/>
          <w:sz w:val="24"/>
        </w:rPr>
      </w:pPr>
      <w:r>
        <w:rPr>
          <w:rFonts w:ascii="彩虹粗仿宋" w:hAnsi="宋体" w:eastAsia="彩虹粗仿宋" w:cs="Arial"/>
          <w:sz w:val="24"/>
        </w:rPr>
        <w:t xml:space="preserve">2.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符合《中华人民共和国证券法》规定的会计师事务所进行验资，出具验资报告。出具的验资报告由参加验资的2名或2名以上中国注册会计师签字方为有效。 </w:t>
      </w:r>
    </w:p>
    <w:p>
      <w:pPr>
        <w:adjustRightInd w:val="0"/>
        <w:snapToGrid w:val="0"/>
        <w:ind w:firstLine="480"/>
        <w:rPr>
          <w:rFonts w:ascii="彩虹粗仿宋" w:hAnsi="宋体" w:eastAsia="彩虹粗仿宋" w:cs="Arial"/>
          <w:sz w:val="24"/>
        </w:rPr>
      </w:pPr>
      <w:r>
        <w:rPr>
          <w:rFonts w:ascii="彩虹粗仿宋" w:hAnsi="宋体" w:eastAsia="彩虹粗仿宋" w:cs="Arial"/>
          <w:sz w:val="24"/>
        </w:rPr>
        <w:t>3.若基金募集期限届满，未能达到《基金合同》生效的条件，由基金管理人按规定办理退款等事宜，基金托管人应予以必要的协助和配合。</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（三）基金托管资金账户的开立和管理</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1.基金托管人可以基金的名义在其营业机构开立基金的托管资金账户，并根据基金管理人合法合规的指令办理资金收付。本基金的银行预留印鉴由基金托管人保管和使用。</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2.基金托管资金账户的开立和使用，限于满足开展本基金业务的需要。基金托管人和基金管理人不得假借本基金的名义开立任何其他托管资金账户；亦不得使用基金的任何账户进行本基金业务以外的活动。</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3.基金托管资金账户的开立和管理应符合银行业监督管理机构的有关规定。</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4.在符合法律法规规定的条件下，基金托管人可以通过基金托管人专用账户办理基金资产的支付。</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5.管理人应于托管基金清盘后及时完成收益兑付、费用结清及其他应收应付款项资金划转，在确保后续不再发生款项进出后的10个工作日内向托管人发出销户申请。</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 xml:space="preserve">（四）基金证券账户和证券资金账户的开立和管理 </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 xml:space="preserve">1.基金托管人在中国证券登记结算有限责任公司为基金开立基金托管人与基金联名的证券账户。 </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 xml:space="preserve">2.基金证券账户的开立和使用，仅限于满足开展本基金业务的需要。基金托管人和基金管理人不得出借或未经对方同意擅自转让基金的任何证券账户，亦不得使用基金的任何账户进行本基金业务以外的活动。 </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3.基金证券账户的开立和证券账户卡的保管由基金托管人负责，账户资产的管理和运用由基金管理人负责。证券账户开户费由基金管理人先行垫付，待本基金启始运营后，基金管理人可向基金托管人发送划款指令，将代垫开户费从本基金托管资金账户中扣还基金管理人。</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4.</w:t>
      </w:r>
      <w:r>
        <w:t xml:space="preserve"> </w:t>
      </w:r>
      <w:r>
        <w:rPr>
          <w:rFonts w:ascii="彩虹粗仿宋" w:hAnsi="宋体" w:eastAsia="彩虹粗仿宋" w:cs="Arial"/>
          <w:sz w:val="24"/>
        </w:rPr>
        <w:t>基金管理人为基金财产在证券经纪机构开立证券资金账户，用于基金财产证券交易结算资金的存管、记载交易结算资金的变动明细以及场内证券交易清算，并与基金托管人开立的基金托管资金账户建立第三方存管关系。</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交易所证券交易资金采用第三方存管模式，即用于证券交易结算资金全额存放在基金管理人为基金开立的证券资金账户中，场内的证券交易资金清算由基金管理人所选择的证券经纪机构负责，证券资金账户内的资金，只能通过证银转账方式将资金划转至基金托管资金账户，不得将资金划转至任何其他银行账户。第三方存管对应关系一经确定，不得更改，如果必须更改，应由基金管理人发起，经过基金托管人书面确认后，重新建立第三方存管对应关系。基金托管人和基金管理人不得出借或转让证券账户、证券资金账户，亦不得使用证券账户或证券资金账户进行本基金业务以外的活动。基金管理人承诺证券资金账户为主资金账户，不开立任何辅助资金账户；不为证券资金账户另行开立托管资金账户以外的其他银行账户。基金托管人不负责办理场内的证券交易资金清算，也不负责保管证券资金账户内存放的资金。</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5.账户注销时，在遵守中国证券登记结算有限责任公司的相关规定下，由管理人和托管人协商确认主要办理人。账户注销期间，主要办理人如需另一方提供配合的，另一方应予以配合。</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6.若中国证监会或其他监管机构在本托管协议订立日之后允许基金从事其他投资品种的投资业务，涉及相关账户的开立、使用的，若无相关规定，则基金托管人比照上述关于账户开立、使用的规定执行。</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（五）银行间账户的开设和管理</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和资金结算专户，并代表基金进行银行间市场债券的结算。</w:t>
      </w:r>
      <w:r>
        <w:rPr>
          <w:rFonts w:ascii="彩虹粗仿宋" w:hAnsi="宋体" w:eastAsia="彩虹粗仿宋" w:cs="Arial"/>
          <w:sz w:val="24"/>
        </w:rPr>
        <w:t>基金管理人代表基金签订全国银行间债券市场债券回购主协议。</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 xml:space="preserve">（六）期货账户的开设和管理 </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基金管理人应当代表本基金，按照相关规定配合期货经纪机构开立期货结算账户、期货资金账户，并在中国金融期货交易所获取交易编码。期货结算账户名称、期货资金账户名称及交易编码对应名称应按照有关规定设立，具体根据签署的《期货投资托管操作三方备忘录》开立和管理。</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（七）其他账户的开立和管理</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2.法律法规等有关规定对相关账户的开立和管理另有规定的，从其规定办理。</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（八）基金财产投资的有关有价凭证等的保管</w:t>
      </w:r>
    </w:p>
    <w:p>
      <w:pPr>
        <w:adjustRightInd w:val="0"/>
        <w:snapToGrid w:val="0"/>
        <w:ind w:firstLine="480" w:firstLineChars="200"/>
        <w:rPr>
          <w:rFonts w:ascii="彩虹粗仿宋" w:hAnsi="宋体" w:eastAsia="彩虹粗仿宋" w:cs="Arial"/>
        </w:rPr>
      </w:pPr>
      <w:r>
        <w:rPr>
          <w:rFonts w:hint="eastAsia" w:ascii="彩虹粗仿宋" w:hAnsi="宋体" w:eastAsia="彩虹粗仿宋" w:cs="Arial"/>
          <w:sz w:val="24"/>
        </w:rPr>
        <w:t>基金财产投资的有关实物证券、银行</w:t>
      </w:r>
      <w:r>
        <w:rPr>
          <w:rFonts w:hint="eastAsia" w:ascii="彩虹粗仿宋" w:eastAsia="彩虹粗仿宋"/>
          <w:sz w:val="24"/>
        </w:rPr>
        <w:t>存款开户证实书</w:t>
      </w:r>
      <w:r>
        <w:rPr>
          <w:rFonts w:hint="eastAsia" w:ascii="彩虹粗仿宋" w:hAnsi="宋体" w:eastAsia="彩虹粗仿宋" w:cs="Arial"/>
          <w:sz w:val="24"/>
        </w:rPr>
        <w:t>等有价凭证由基金托管人存放于基金托管人的保管库，也可存入法律法规有关规定允许的各类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（九）与基金财产有关的重大合同的保管</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尽量保证基金管理人和基金托管人至少各持有一份正本的原件。基金管理人应在重大合同签署后及时将重大合同传真或以双方约定的其他方式发送给基金托管人，并在三十个工作日内将正本送达基金托管人处。重大合同的保管期限不少于法律法规的规定。</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对于无法取得二份以上的正本的，基金管理人应向基金托管人提供加盖公章的合同传真件，未经双方协商一致，合同原件不得转移。</w:t>
      </w:r>
    </w:p>
    <w:p>
      <w:pPr>
        <w:rPr>
          <w:rFonts w:ascii="彩虹粗仿宋" w:eastAsia="彩虹粗仿宋"/>
          <w:sz w:val="24"/>
        </w:rPr>
      </w:pPr>
    </w:p>
    <w:p>
      <w:pPr>
        <w:pStyle w:val="2"/>
        <w:jc w:val="center"/>
        <w:rPr>
          <w:rFonts w:ascii="彩虹粗仿宋" w:eastAsia="彩虹粗仿宋"/>
          <w:sz w:val="30"/>
        </w:rPr>
      </w:pPr>
      <w:bookmarkStart w:id="43" w:name="_Toc118212952"/>
      <w:bookmarkStart w:id="44" w:name="_Toc86223244"/>
      <w:bookmarkStart w:id="45" w:name="_Toc86726441"/>
      <w:bookmarkStart w:id="46" w:name="_Toc110830494"/>
      <w:bookmarkStart w:id="47" w:name="_Toc86727357"/>
      <w:bookmarkStart w:id="48" w:name="_Toc118774805"/>
      <w:bookmarkStart w:id="49" w:name="_Toc84234389"/>
      <w:bookmarkStart w:id="50" w:name="_Toc86737931"/>
      <w:bookmarkStart w:id="51" w:name="_Toc120435785"/>
      <w:bookmarkStart w:id="52" w:name="_Toc118972650"/>
      <w:bookmarkStart w:id="53" w:name="_Toc86225293"/>
      <w:bookmarkStart w:id="54" w:name="_Toc124325890"/>
      <w:bookmarkStart w:id="55" w:name="_Toc89163370"/>
      <w:bookmarkStart w:id="56" w:name="_Toc86204790"/>
      <w:bookmarkStart w:id="57" w:name="_Toc119402712"/>
      <w:bookmarkStart w:id="58" w:name="_Toc86649724"/>
      <w:bookmarkStart w:id="59" w:name="_Toc84234436"/>
      <w:bookmarkStart w:id="60" w:name="_Toc110761798"/>
      <w:bookmarkStart w:id="61" w:name="_Toc84133787"/>
      <w:bookmarkStart w:id="62" w:name="_Toc110765662"/>
      <w:bookmarkStart w:id="63" w:name="_Toc108512360"/>
      <w:r>
        <w:rPr>
          <w:rFonts w:hint="eastAsia" w:ascii="彩虹粗仿宋" w:eastAsia="彩虹粗仿宋"/>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基金管理人在运用基金财产时向基金托管人发送资金划拨及其他款项付款指令，基金托管人执行基金管理人的指令、办理基金名下的资金往来等有关事项。</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（一）基金管理人对发送指令人员的书面授权</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1.基金管理人应指定专人向基金托管人发送指令。</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2.基金管理人应向基金托管人提供书面授权文件原件，内容包括被授权人名单、预留印鉴及被授权人签字样本，授权文件应注明被授权人相应的权限, 并加盖单位公章。</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4.基金管理人和基金托管人对授权文件负有保密义务，其内容不得向被授权人及相关操作人员以外的任何人泄露。但法律法规规定或有权机关要求的除外。</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（二）指令的内容</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1.指令包括付款指令以及其他资金划拨指令等。</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2.基金管理人发给基金托管人的指令应写明款项事由、支付时间、到账时间、金额、收付款账户等，加盖预留印鉴并由被授权人签字。</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（三）指令的发送、确认及执行的时间和程序</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1.指令的发送</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基金管理人发送指令应采用传真方式或双方协商一致的其他方式。</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指令发出后，基金管理人应及时以电话方式向基金托管人确认。</w:t>
      </w:r>
    </w:p>
    <w:p>
      <w:pPr>
        <w:adjustRightInd w:val="0"/>
        <w:snapToGrid w:val="0"/>
        <w:ind w:firstLine="480"/>
        <w:rPr>
          <w:rFonts w:ascii="彩虹粗仿宋" w:hAnsi="宋体" w:eastAsia="彩虹粗仿宋" w:cs="Arial"/>
          <w:sz w:val="24"/>
        </w:rPr>
      </w:pPr>
      <w:r>
        <w:rPr>
          <w:rFonts w:hint="eastAsia" w:ascii="彩虹粗仿宋" w:hAnsi="宋体" w:eastAsia="彩虹粗仿宋"/>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2.指令的确认</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3.指令的时间和执行</w:t>
      </w:r>
    </w:p>
    <w:p>
      <w:pPr>
        <w:pStyle w:val="7"/>
        <w:spacing w:line="240" w:lineRule="auto"/>
        <w:ind w:firstLineChars="0"/>
        <w:rPr>
          <w:rFonts w:ascii="彩虹粗仿宋" w:hAnsi="宋体" w:eastAsia="彩虹粗仿宋" w:cs="Arial"/>
        </w:rPr>
      </w:pPr>
      <w:r>
        <w:rPr>
          <w:rFonts w:ascii="彩虹粗仿宋" w:hAnsi="宋体" w:eastAsia="彩虹粗仿宋" w:cs="Arial"/>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确保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基金管理人应确保基金托管人在执行指令时，基金托管资金账户有足够的资金余额，在基金资金头寸充足的情况下，基金托管人对基金管理人符合法律法规、《基金合同》、本协议的指令不得拖延或拒绝执行。</w:t>
      </w:r>
    </w:p>
    <w:p>
      <w:pPr>
        <w:pStyle w:val="7"/>
        <w:spacing w:line="240" w:lineRule="auto"/>
        <w:ind w:firstLineChars="0"/>
        <w:rPr>
          <w:rFonts w:ascii="彩虹粗仿宋" w:hAnsi="宋体" w:eastAsia="彩虹粗仿宋" w:cs="Arial"/>
        </w:rPr>
      </w:pPr>
      <w:r>
        <w:rPr>
          <w:rFonts w:hint="eastAsia" w:ascii="彩虹粗仿宋" w:hAnsi="宋体" w:eastAsia="彩虹粗仿宋" w:cs="Arial"/>
        </w:rPr>
        <w:t>（四）基金管理人发送错误指令的情形和处理程序</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基金管理人发送错误指令的情形包括指令违反法律法规、监管规定、《基金合同》或本协议的约定，或指令发送人员无权或超越权限发送指令。</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基金托管人发现基金管理人的指令错误时，有权拒绝执行，并及时通知基金管理人改正。如需托管人撤销尚未执行的指令，基金管理人应出具作废指令或作废说明，并电话通知托管人。</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（五）基金托管人未按照基金管理人指令执行的处理方法</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基金托管人由于自身过错，未按照基金管理人发送的符合法律法规、监管规定、《基金合同》和本协议约定的指令执行并对基金财产或投资人造成的直接损失，由基金托管人</w:t>
      </w:r>
      <w:r>
        <w:rPr>
          <w:rFonts w:hint="eastAsia" w:ascii="彩虹粗仿宋" w:eastAsia="彩虹粗仿宋"/>
          <w:sz w:val="24"/>
        </w:rPr>
        <w:t>赔偿由此造成的直接损失。</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（六）更换被授权人的程序</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基金管理人更换被授权人、更改或终止对被授权人的授权，应立即将加盖公章的新的授权文件以邮件发送扫描件的方式通知基金托管人，并经电话确认后生效，原授权文件同时废止。新的授权文件在邮件发出后七个工作日内送达托管人文件正本。新的授权文件生效之后，正本送达之前，基金托管人按照新的授权文件扫描件内容执行有关业务，如果新的授权文件正本与扫描件内容不同，由此产生的责任由基金管理人承担</w:t>
      </w:r>
      <w:r>
        <w:rPr>
          <w:rFonts w:hint="eastAsia" w:ascii="彩虹粗仿宋" w:eastAsia="彩虹粗仿宋"/>
          <w:sz w:val="24"/>
        </w:rPr>
        <w:t>。</w:t>
      </w:r>
      <w:r>
        <w:rPr>
          <w:rFonts w:hint="eastAsia" w:ascii="彩虹粗仿宋" w:hAnsi="宋体" w:eastAsia="彩虹粗仿宋" w:cs="Arial"/>
          <w:sz w:val="24"/>
        </w:rPr>
        <w:t>基金托管人更换接收基金管理人指令的传真号或邮箱地址，应提前通知基金管理人。</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（七）其他事项</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基金托管人在接收指令时，应对指令的要素是否齐全、印鉴与被授权人是否与预留的授权文件内容表面相符进行检查，如发现问题，应及时报告基金管理人，基金托管人对执行基金管理人的有效指令对基金财产造成的损失不承担赔偿责任。</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基金参与认购未上市债券时，基金管理人应代表本基金与对手方签署相关合同或协议，明确约定债券过户具体事宜。否则，基金管理人需对所认购债券的过户事宜承担相应责任。</w:t>
      </w:r>
    </w:p>
    <w:p>
      <w:pPr>
        <w:adjustRightInd w:val="0"/>
        <w:snapToGrid w:val="0"/>
        <w:rPr>
          <w:rFonts w:ascii="彩虹粗仿宋" w:hAnsi="宋体" w:eastAsia="彩虹粗仿宋" w:cs="Arial"/>
          <w:sz w:val="24"/>
        </w:rPr>
      </w:pPr>
    </w:p>
    <w:p>
      <w:pPr>
        <w:pStyle w:val="2"/>
        <w:jc w:val="center"/>
        <w:rPr>
          <w:rFonts w:ascii="彩虹粗仿宋" w:eastAsia="彩虹粗仿宋"/>
          <w:sz w:val="30"/>
        </w:rPr>
      </w:pPr>
      <w:bookmarkStart w:id="64" w:name="_Toc110830495"/>
      <w:bookmarkStart w:id="65" w:name="_Toc84234390"/>
      <w:bookmarkStart w:id="66" w:name="_Toc108512361"/>
      <w:bookmarkStart w:id="67" w:name="_Toc110761799"/>
      <w:bookmarkStart w:id="68" w:name="_Toc118774806"/>
      <w:bookmarkStart w:id="69" w:name="_Toc86727358"/>
      <w:bookmarkStart w:id="70" w:name="_Toc84133788"/>
      <w:bookmarkStart w:id="71" w:name="_Toc110765663"/>
      <w:bookmarkStart w:id="72" w:name="_Toc86223245"/>
      <w:bookmarkStart w:id="73" w:name="_Toc86204791"/>
      <w:bookmarkStart w:id="74" w:name="_Toc118972651"/>
      <w:bookmarkStart w:id="75" w:name="_Toc86225294"/>
      <w:bookmarkStart w:id="76" w:name="_Toc86649725"/>
      <w:bookmarkStart w:id="77" w:name="_Toc86737932"/>
      <w:bookmarkStart w:id="78" w:name="_Toc86726442"/>
      <w:bookmarkStart w:id="79" w:name="_Toc120435786"/>
      <w:bookmarkStart w:id="80" w:name="_Toc119402713"/>
      <w:bookmarkStart w:id="81" w:name="_Toc118212953"/>
      <w:bookmarkStart w:id="82" w:name="_Toc124325891"/>
      <w:bookmarkStart w:id="83" w:name="_Toc84234437"/>
      <w:bookmarkStart w:id="84" w:name="_Toc89163371"/>
      <w:r>
        <w:rPr>
          <w:rFonts w:hint="eastAsia" w:ascii="彩虹粗仿宋" w:eastAsia="彩虹粗仿宋"/>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adjustRightInd w:val="0"/>
        <w:snapToGrid w:val="0"/>
        <w:ind w:firstLine="480"/>
        <w:rPr>
          <w:rFonts w:ascii="彩虹粗仿宋" w:hAnsi="宋体" w:eastAsia="彩虹粗仿宋" w:cs="Arial"/>
          <w:sz w:val="24"/>
        </w:rPr>
      </w:pPr>
      <w:r>
        <w:rPr>
          <w:rFonts w:ascii="彩虹粗仿宋" w:hAnsi="宋体" w:eastAsia="彩虹粗仿宋" w:cs="Arial"/>
          <w:sz w:val="24"/>
        </w:rPr>
        <w:t xml:space="preserve">（一）选择证券/期货买卖的证券/期货经纪机构 </w:t>
      </w:r>
    </w:p>
    <w:p>
      <w:pPr>
        <w:adjustRightInd w:val="0"/>
        <w:snapToGrid w:val="0"/>
        <w:ind w:firstLine="480"/>
        <w:rPr>
          <w:rFonts w:ascii="彩虹粗仿宋" w:hAnsi="宋体" w:eastAsia="彩虹粗仿宋" w:cs="Arial"/>
          <w:sz w:val="24"/>
        </w:rPr>
      </w:pPr>
      <w:r>
        <w:rPr>
          <w:rFonts w:ascii="彩虹粗仿宋" w:hAnsi="宋体" w:eastAsia="彩虹粗仿宋" w:cs="Arial"/>
          <w:sz w:val="24"/>
        </w:rPr>
        <w:t xml:space="preserve">基金管理人应设计选择证券买卖的证券经纪机构的标准和程序。基金管理人应代表基金与被选择的证券经纪机构签订证券经纪合同或其他约定的形式。基金管理人、基金托管人和证券经纪机构就本基金参与证券交易的具体事项另行签订证券经纪服务协议，明确三方在本基金参与场内证券买卖中的各类证券交易、证券交收及相关资金交收过程中的职责和义务。基金管理人应及时将基金佣金费率等基本信息以及变更情况以书面形式通知基金托管人,并在法定信息披露公告中披露关于选择证券公司的标准和程序等信息。 </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r>
        <w:rPr>
          <w:rFonts w:ascii="彩虹粗仿宋" w:hAnsi="宋体" w:eastAsia="彩虹粗仿宋" w:cs="Arial"/>
          <w:sz w:val="24"/>
        </w:rPr>
        <w:t xml:space="preserve">本基金在开始进行期货投资之前，基金管理人应与基金托管人、期货公司三方一同就期货开户、清算、估值、交收等事宜另行签署《期货投资托管操作三方备忘录》。 </w:t>
      </w:r>
    </w:p>
    <w:p>
      <w:pPr>
        <w:adjustRightInd w:val="0"/>
        <w:snapToGrid w:val="0"/>
        <w:ind w:firstLine="480"/>
        <w:rPr>
          <w:rFonts w:ascii="彩虹粗仿宋" w:hAnsi="宋体" w:eastAsia="彩虹粗仿宋" w:cs="Arial"/>
          <w:sz w:val="24"/>
        </w:rPr>
      </w:pPr>
      <w:r>
        <w:rPr>
          <w:rFonts w:ascii="彩虹粗仿宋" w:hAnsi="宋体" w:eastAsia="彩虹粗仿宋" w:cs="Arial"/>
          <w:sz w:val="24"/>
        </w:rPr>
        <w:t>因相关法律法规或交易规则的修改带来的变化以届时有效的法律法规和相关交易规则为准。</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（二）基金投资证券后的清算交收安排</w:t>
      </w:r>
    </w:p>
    <w:p>
      <w:pPr>
        <w:adjustRightInd w:val="0"/>
        <w:snapToGrid w:val="0"/>
        <w:ind w:firstLine="480"/>
        <w:rPr>
          <w:rFonts w:ascii="彩虹粗仿宋" w:hAnsi="宋体" w:eastAsia="彩虹粗仿宋" w:cs="Arial"/>
          <w:sz w:val="24"/>
        </w:rPr>
      </w:pPr>
      <w:r>
        <w:rPr>
          <w:rFonts w:ascii="彩虹粗仿宋" w:hAnsi="宋体" w:eastAsia="彩虹粗仿宋" w:cs="Arial"/>
          <w:sz w:val="24"/>
        </w:rPr>
        <w:t xml:space="preserve">1. 清算与交割 </w:t>
      </w:r>
    </w:p>
    <w:p>
      <w:pPr>
        <w:adjustRightInd w:val="0"/>
        <w:snapToGrid w:val="0"/>
        <w:ind w:firstLine="480"/>
        <w:rPr>
          <w:rFonts w:ascii="彩虹粗仿宋" w:hAnsi="宋体" w:eastAsia="彩虹粗仿宋" w:cs="Arial"/>
          <w:sz w:val="24"/>
        </w:rPr>
      </w:pPr>
      <w:r>
        <w:rPr>
          <w:rFonts w:ascii="彩虹粗仿宋" w:hAnsi="宋体" w:eastAsia="彩虹粗仿宋" w:cs="Arial"/>
          <w:sz w:val="24"/>
        </w:rPr>
        <w:t xml:space="preserve">基金通过证券经纪机构进行的交易由证券经纪机构作为结算参与人代理本基金进行结算，本基金通过期货经纪机构进行的交易由期货经纪机构作为结算参与人代理本基金进行结算。本基金其它证券交易由基金托管人或相关机构负责结算，场外资金汇划由基金托管人根据基金管理人的场外交易划款指令具体办理。 </w:t>
      </w:r>
    </w:p>
    <w:p>
      <w:pPr>
        <w:adjustRightInd w:val="0"/>
        <w:snapToGrid w:val="0"/>
        <w:ind w:firstLine="480"/>
        <w:rPr>
          <w:rFonts w:ascii="彩虹粗仿宋" w:hAnsi="宋体" w:eastAsia="彩虹粗仿宋" w:cs="Arial"/>
          <w:sz w:val="24"/>
        </w:rPr>
      </w:pPr>
      <w:r>
        <w:rPr>
          <w:rFonts w:ascii="彩虹粗仿宋" w:hAnsi="宋体" w:eastAsia="彩虹粗仿宋" w:cs="Arial"/>
          <w:sz w:val="24"/>
        </w:rPr>
        <w:t>证券经纪机构代理本基金财产与中国证券登记结算有限责任公司完成证券交易及非交易涉及的证券资金结算业务，并承担由证券经纪机构原因造成的正常结算、交收业务无法完成的责任；若由于基金管理人原因造成的正常结算业务无法完成，责任由基金管理人承担。 对于任何原因发生的证券资金交收违约事件，相关各方应当及时协商解决。由于相关方过错在清算上造成基金财产的直接损失，应由过错方承担相应责任。</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2.交易记录、资金和证券/期货账目核对的时间和方式</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（1）交易记录的核对</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（2）资金账目的核对</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资金账目按日核实。</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（3）证券/期货账目的核对</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基金管理人和基金托管人每个交易日结束后核对基金证券/期货账目，确保双方账目相符。</w:t>
      </w:r>
    </w:p>
    <w:p>
      <w:pPr>
        <w:adjustRightInd w:val="0"/>
        <w:snapToGrid w:val="0"/>
        <w:ind w:firstLine="480"/>
        <w:outlineLvl w:val="0"/>
        <w:rPr>
          <w:rFonts w:ascii="彩虹粗仿宋" w:hAnsi="宋体" w:eastAsia="彩虹粗仿宋" w:cs="Arial"/>
          <w:sz w:val="24"/>
        </w:rPr>
      </w:pPr>
      <w:r>
        <w:rPr>
          <w:rFonts w:hint="eastAsia" w:ascii="彩虹粗仿宋" w:hAnsi="宋体" w:eastAsia="彩虹粗仿宋" w:cs="Arial"/>
          <w:sz w:val="24"/>
        </w:rPr>
        <w:t>（三）基金申购和赎回业务处理的基本规定</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1.基金份额申购、赎回的确认、清算由基金管理人或其委托的登记机构负责。</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3.基金管理人应保证本基金（或本基金管理人委托）的登记机构每个工作日15:00前向基金托管人发送前一开放日上述有关数据，并保证相关数据的准确、完整。</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4.登记机构应通过与基金托管人建立的加密系统发送有关数据，如因各种原因，该系统无法正常发送，双方可协商解决处理方式。基金管理人向基金托管人发送的数据，双方各自按有关规定保存。</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5.如基金管理人委托其他机构办理本基金的登记业务，应保证上述相关事宜按时进行。否则，由基金管理人承担相应的责任。</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6.关于清算专用账户的设立和管理</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为满足申购、赎回及分红资金汇划的需要，由基金管理人开立资金清算的专用账户，该账户由登记机构管理。</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7.对于基金申购过程中产生的应收款，应由基金管理人负责与有关当事人确定到账日期并通知基金托管人，到账日应收款没有到达基金托管资金账户的，基金托管人应及时通知基金管理人采取措施进行催收，由此造成基金损失的，基金管理人应负责向有关当事人追偿基金的损失，基金托管人应给予必要的协助与配合。</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8.赎回和分红资金划拨规定</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拨付赎回款或进行基金分红时，如基金托管资金账户有足够的资金，基金托管人应按时拨付；因基金托管资金账户没有足够的资金，导致基金托管人不能按时拨付，如系基金管理人的原因造成，责任由基金管理人承担，基金托管人不承担垫款义务。</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9.资金指令</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除申购款项到达基金托管资金账户需双方按约定方式对账外，回购到期付款和与投资有关的付款、赎回和分红资金划拨时，基金管理人需向基金托管人下达指令。</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资金指令的格式、内容、发送、接收和确认方式等与投资指令相同。</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（四）申赎净额结算</w:t>
      </w:r>
    </w:p>
    <w:p>
      <w:pPr>
        <w:adjustRightInd w:val="0"/>
        <w:snapToGrid w:val="0"/>
        <w:ind w:firstLine="480"/>
        <w:outlineLvl w:val="0"/>
        <w:rPr>
          <w:rFonts w:ascii="彩虹粗仿宋" w:hAnsi="宋体" w:eastAsia="彩虹粗仿宋" w:cs="Arial"/>
          <w:sz w:val="24"/>
        </w:rPr>
      </w:pPr>
      <w:r>
        <w:rPr>
          <w:rFonts w:ascii="彩虹粗仿宋" w:hAnsi="宋体" w:eastAsia="彩虹粗仿宋" w:cs="Arial"/>
          <w:sz w:val="24"/>
        </w:rPr>
        <w:t xml:space="preserve">1.基金托管资金账户与“基金清算账户”间的资金结算遵循“全额清算、净额交收”的原则，每日按照托管资金账户应收资金与应付资金的差额来确定托管资金账户净应收额或净应付额，以此确定资金交收额。 </w:t>
      </w:r>
    </w:p>
    <w:p>
      <w:pPr>
        <w:adjustRightInd w:val="0"/>
        <w:snapToGrid w:val="0"/>
        <w:ind w:firstLine="480"/>
        <w:outlineLvl w:val="0"/>
        <w:rPr>
          <w:rFonts w:ascii="彩虹粗仿宋" w:hAnsi="宋体" w:eastAsia="彩虹粗仿宋" w:cs="Arial"/>
          <w:sz w:val="24"/>
        </w:rPr>
      </w:pPr>
      <w:r>
        <w:rPr>
          <w:rFonts w:ascii="彩虹粗仿宋" w:hAnsi="宋体" w:eastAsia="彩虹粗仿宋" w:cs="Arial"/>
          <w:sz w:val="24"/>
        </w:rPr>
        <w:t>2.当存在托管资金账户净应收额时，基金管理人负责将托管资金账户净应收额在交收日15:00前从“基金清算账户”划到基金的托管资金账户；当存在托管资金账户净应付额时，基金管理人应在交收日10:00前将划款指令发送给基金托管人，基金托管人按基金管理人的划款指令将托管资金账户净应付额在交收日15:00之前划往基金清算账户。</w:t>
      </w:r>
    </w:p>
    <w:p>
      <w:pPr>
        <w:adjustRightInd w:val="0"/>
        <w:snapToGrid w:val="0"/>
        <w:ind w:firstLine="480"/>
        <w:outlineLvl w:val="0"/>
        <w:rPr>
          <w:rFonts w:ascii="彩虹粗仿宋" w:hAnsi="宋体" w:eastAsia="彩虹粗仿宋" w:cs="Arial"/>
          <w:sz w:val="24"/>
        </w:rPr>
      </w:pPr>
      <w:r>
        <w:rPr>
          <w:rFonts w:hint="eastAsia" w:ascii="彩虹粗仿宋" w:hAnsi="宋体" w:eastAsia="彩虹粗仿宋" w:cs="Arial"/>
          <w:sz w:val="24"/>
        </w:rPr>
        <w:t>（五）基金转换</w:t>
      </w:r>
    </w:p>
    <w:p>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1.在本基金与基金管理人管理的其它基金开展转换业务之前，基金管理人应函告基金托管人并就相关事宜进行协商。</w:t>
      </w:r>
    </w:p>
    <w:p>
      <w:pPr>
        <w:adjustRightInd w:val="0"/>
        <w:snapToGrid w:val="0"/>
        <w:ind w:firstLine="480"/>
        <w:outlineLvl w:val="0"/>
        <w:rPr>
          <w:rFonts w:ascii="彩虹粗仿宋" w:hAnsi="宋体" w:eastAsia="彩虹粗仿宋" w:cs="Arial"/>
          <w:sz w:val="24"/>
        </w:rPr>
      </w:pPr>
      <w:r>
        <w:rPr>
          <w:rFonts w:hint="eastAsia" w:ascii="彩虹粗仿宋" w:hAnsi="宋体" w:eastAsia="彩虹粗仿宋" w:cs="Arial"/>
          <w:sz w:val="24"/>
        </w:rPr>
        <w:t>2.基金托管人将根据基金管理人传送的基金转换数据进行账务处理，具体资金清算和数据传递的时间、程序及托管协议当事人承担的权责按基金管理人届时的公告执行。</w:t>
      </w:r>
    </w:p>
    <w:p>
      <w:pPr>
        <w:adjustRightInd w:val="0"/>
        <w:snapToGrid w:val="0"/>
        <w:ind w:firstLine="480"/>
        <w:outlineLvl w:val="0"/>
        <w:rPr>
          <w:rFonts w:ascii="彩虹粗仿宋" w:hAnsi="宋体" w:eastAsia="彩虹粗仿宋" w:cs="Arial"/>
          <w:sz w:val="24"/>
        </w:rPr>
      </w:pPr>
      <w:r>
        <w:rPr>
          <w:rFonts w:hint="eastAsia" w:ascii="彩虹粗仿宋" w:hAnsi="宋体" w:eastAsia="彩虹粗仿宋" w:cs="Arial"/>
          <w:sz w:val="24"/>
        </w:rPr>
        <w:t>3.本基金开展基金转换业务应按相关法律法规规定及《基金合同》的约定进行公告。</w:t>
      </w:r>
    </w:p>
    <w:p>
      <w:pPr>
        <w:adjustRightInd w:val="0"/>
        <w:snapToGrid w:val="0"/>
        <w:ind w:firstLine="480"/>
        <w:outlineLvl w:val="0"/>
        <w:rPr>
          <w:rFonts w:ascii="彩虹粗仿宋" w:hAnsi="宋体" w:eastAsia="彩虹粗仿宋" w:cs="Arial"/>
          <w:sz w:val="24"/>
        </w:rPr>
      </w:pPr>
      <w:r>
        <w:rPr>
          <w:rFonts w:hint="eastAsia" w:ascii="彩虹粗仿宋" w:hAnsi="宋体" w:eastAsia="彩虹粗仿宋" w:cs="Arial"/>
          <w:sz w:val="24"/>
        </w:rPr>
        <w:t>（六）基金现金分红</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1.基金管理人确定分红方案通知基金托管人，双方核定后</w:t>
      </w:r>
      <w:r>
        <w:rPr>
          <w:rFonts w:hint="eastAsia" w:ascii="彩虹粗仿宋" w:eastAsia="彩虹粗仿宋"/>
          <w:sz w:val="24"/>
          <w:szCs w:val="18"/>
        </w:rPr>
        <w:t>依照《信息披露办法》的有关规定在中国证监会规定媒介上公告</w:t>
      </w:r>
      <w:r>
        <w:rPr>
          <w:rFonts w:hint="eastAsia" w:ascii="彩虹粗仿宋" w:hAnsi="宋体" w:eastAsia="彩虹粗仿宋" w:cs="Arial"/>
          <w:sz w:val="24"/>
        </w:rPr>
        <w:t>。</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2.基金托管人和基金管理人对基金分红进行账务处理并核对后，基金管理人向基金托管人发送现金红利的划款指令，基金托管人应及时将资金划入专用账户。</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3.基金管理人在下达指令时，应给基金托管人留出必需的划款时间。</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（七）投资银行存款的特别约定</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1.本基金投资银行存款前，基金管理人应与存款银行签订具体存款协议，包括但不限于以下内容：</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（1）存款账户必须以本基金名义开立，并将基金托管人为本基金开立的基金托管资金账户指定为唯一回款账户，任何情况下，存款银行都不得将存款投资本息划往任何其他账户。</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（2）存款银行不得接受基金管理人或基金托管人任何一方单方面提出的对存款进行更名、转让、挂失、质押、担保、撤销、变更印鉴及回款账户信息等可能导致财产转移的操作申请。</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（3）约定存款证实书的具体传递交接方式及交接期限。</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（4）资金划转过程中需要使用存款银行过渡账户的，存款银行须保证资金在过渡账户中不出现滞留，不被挪用。</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3.基金管理人投资银行存款或办理存款支取时，应提前书面或以双方认可的其他形式通知基金托管人，以便基金托管人有足够的时间履行相应的业务操作程序。因发生逾期支取、提前支取或部分提前支取，基金托管人不承担相应利息损失及逾期支取手续费。</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4.对于已移交基金托管人保管的存款开户证实书等实物凭证，基金托管人应确保安全保管；对未按约定将存款开户证实书等实物凭证移交托管人保管的，基金托管人应向基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基金托管人保管的实物凭证信息进行规定范围信息披露；（3）未送达实物凭证超过送单截止日后30个工作日，且累计超过3笔（含）以上的，部分或全部暂停配合基金管理人办理后续新增存款投资业务，直至实物凭证送达托管行保管后解除。实物凭证未送达但存款本息已安全划回托管资金账户的，以及因发生特殊情况由管理人提供相关书面说明并重新承诺送单截止时间的，可剔除不计。</w:t>
      </w:r>
    </w:p>
    <w:p>
      <w:pPr>
        <w:adjustRightInd w:val="0"/>
        <w:snapToGrid w:val="0"/>
        <w:ind w:firstLine="480" w:firstLineChars="200"/>
        <w:rPr>
          <w:rFonts w:ascii="彩虹粗仿宋" w:hAnsi="宋体" w:eastAsia="彩虹粗仿宋" w:cs="Arial"/>
          <w:sz w:val="24"/>
        </w:rPr>
      </w:pPr>
    </w:p>
    <w:p>
      <w:pPr>
        <w:pStyle w:val="2"/>
        <w:jc w:val="center"/>
        <w:rPr>
          <w:rFonts w:ascii="彩虹粗仿宋" w:eastAsia="彩虹粗仿宋"/>
          <w:sz w:val="30"/>
        </w:rPr>
      </w:pPr>
      <w:bookmarkStart w:id="85" w:name="_Toc124325892"/>
      <w:r>
        <w:rPr>
          <w:rFonts w:hint="eastAsia" w:ascii="彩虹粗仿宋" w:eastAsia="彩虹粗仿宋"/>
          <w:sz w:val="30"/>
        </w:rPr>
        <w:t xml:space="preserve"> 八、基金资产净值计算和会计核算</w:t>
      </w:r>
      <w:bookmarkEnd w:id="85"/>
    </w:p>
    <w:p>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（一）基金资产净值的计算、复核与完成的时间及程序</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基金资产净值是指基金资产总值减去基金负债后的价值。各类基金份额净值是按照每个工作日闭市后，该类基金资产净值除以当日该类基金份额的余额数量计算，均精确到0.0001元，小数点后第5位四舍五入。基金管理人可以设立大额赎回情形下的净值精度应急调整机制。国家另有规定的，从其规定。</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基金管理人每个工作日计算基金资产净值及各类基金份额净值，并按规定公告。</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按规定对外公布。</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（二）基金资产估值方法和特殊情形的处理</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1.估值对象</w:t>
      </w:r>
    </w:p>
    <w:p>
      <w:pPr>
        <w:adjustRightInd w:val="0"/>
        <w:snapToGrid w:val="0"/>
        <w:ind w:firstLine="480" w:firstLineChars="200"/>
        <w:rPr>
          <w:rFonts w:ascii="彩虹粗仿宋" w:hAnsi="宋体" w:eastAsia="彩虹粗仿宋" w:cs="Arial"/>
          <w:bCs/>
          <w:sz w:val="24"/>
        </w:rPr>
      </w:pPr>
      <w:r>
        <w:rPr>
          <w:rFonts w:ascii="彩虹粗仿宋" w:hAnsi="宋体" w:eastAsia="彩虹粗仿宋" w:cs="Arial"/>
          <w:bCs/>
          <w:sz w:val="24"/>
        </w:rPr>
        <w:t>基金所拥有的股票、</w:t>
      </w:r>
      <w:r>
        <w:rPr>
          <w:rFonts w:hint="eastAsia" w:ascii="彩虹粗仿宋" w:hAnsi="宋体" w:eastAsia="彩虹粗仿宋" w:cs="Arial"/>
          <w:bCs/>
          <w:sz w:val="24"/>
        </w:rPr>
        <w:t>存托凭证、</w:t>
      </w:r>
      <w:r>
        <w:rPr>
          <w:rFonts w:ascii="彩虹粗仿宋" w:hAnsi="宋体" w:eastAsia="彩虹粗仿宋" w:cs="Arial"/>
          <w:bCs/>
          <w:sz w:val="24"/>
        </w:rPr>
        <w:t>债券</w:t>
      </w:r>
      <w:r>
        <w:rPr>
          <w:rFonts w:hint="eastAsia" w:ascii="彩虹粗仿宋" w:hAnsi="宋体" w:eastAsia="彩虹粗仿宋" w:cs="Arial"/>
          <w:bCs/>
          <w:sz w:val="24"/>
        </w:rPr>
        <w:t>、资产支持证券、股指期货合约</w:t>
      </w:r>
      <w:r>
        <w:rPr>
          <w:rFonts w:ascii="彩虹粗仿宋" w:hAnsi="宋体" w:eastAsia="彩虹粗仿宋" w:cs="Arial"/>
          <w:bCs/>
          <w:sz w:val="24"/>
        </w:rPr>
        <w:t>和银行存款本息、应收款项、其它投资等资产及负债。</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2.估值方法</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（1）</w:t>
      </w:r>
      <w:r>
        <w:rPr>
          <w:rFonts w:ascii="彩虹粗仿宋" w:hAnsi="宋体" w:eastAsia="彩虹粗仿宋" w:cs="Arial"/>
          <w:bCs/>
          <w:sz w:val="24"/>
        </w:rPr>
        <w:t>证券交易所上市的有价证券的估值</w:t>
      </w:r>
    </w:p>
    <w:p>
      <w:pPr>
        <w:adjustRightInd w:val="0"/>
        <w:snapToGrid w:val="0"/>
        <w:ind w:firstLine="480" w:firstLineChars="200"/>
        <w:rPr>
          <w:rFonts w:ascii="彩虹粗仿宋" w:hAnsi="宋体" w:eastAsia="彩虹粗仿宋" w:cs="Arial"/>
          <w:bCs/>
          <w:sz w:val="24"/>
        </w:rPr>
      </w:pPr>
      <w:r>
        <w:rPr>
          <w:rFonts w:ascii="彩虹粗仿宋" w:hAnsi="宋体" w:eastAsia="彩虹粗仿宋" w:cs="Arial"/>
          <w:bCs/>
          <w:sz w:val="24"/>
        </w:rPr>
        <w:t>交易所上市的有价证券</w:t>
      </w:r>
      <w:r>
        <w:rPr>
          <w:rFonts w:hint="eastAsia" w:ascii="彩虹粗仿宋" w:hAnsi="宋体" w:eastAsia="彩虹粗仿宋" w:cs="Arial"/>
          <w:bCs/>
          <w:sz w:val="24"/>
        </w:rPr>
        <w:t>（固定收益品种除外）</w:t>
      </w:r>
      <w:r>
        <w:rPr>
          <w:rFonts w:ascii="彩虹粗仿宋" w:hAnsi="宋体" w:eastAsia="彩虹粗仿宋" w:cs="Arial"/>
          <w:bCs/>
          <w:sz w:val="24"/>
        </w:rPr>
        <w:t>，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Pr>
          <w:rFonts w:hint="eastAsia" w:ascii="彩虹粗仿宋" w:hAnsi="宋体" w:eastAsia="彩虹粗仿宋" w:cs="Arial"/>
          <w:bCs/>
          <w:sz w:val="24"/>
        </w:rPr>
        <w:t>。</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交易所上市不存在活跃市场的有价证券，采用估值技术确定公允价值。交易所市场挂牌转让的资产支持证券，采用估值技术确定公允价值。</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（2）固定收益品种的估值</w:t>
      </w:r>
    </w:p>
    <w:p>
      <w:pPr>
        <w:adjustRightInd w:val="0"/>
        <w:snapToGrid w:val="0"/>
        <w:ind w:firstLine="480" w:firstLineChars="200"/>
        <w:rPr>
          <w:rFonts w:ascii="彩虹粗仿宋" w:hAnsi="宋体" w:eastAsia="彩虹粗仿宋" w:cs="Arial"/>
          <w:bCs/>
          <w:sz w:val="24"/>
        </w:rPr>
      </w:pPr>
      <w:r>
        <w:rPr>
          <w:rFonts w:ascii="彩虹粗仿宋" w:hAnsi="宋体" w:eastAsia="彩虹粗仿宋" w:cs="Arial"/>
          <w:bCs/>
          <w:sz w:val="24"/>
        </w:rPr>
        <w:t>1</w:t>
      </w:r>
      <w:r>
        <w:rPr>
          <w:rFonts w:hint="eastAsia" w:ascii="彩虹粗仿宋" w:hAnsi="宋体" w:eastAsia="彩虹粗仿宋" w:cs="Arial"/>
          <w:bCs/>
          <w:sz w:val="24"/>
        </w:rPr>
        <w:t>）对于已上市或已挂牌转让的不含权固定收益品种（另有规定的除外），选取第三方估值基准服务机构提供的相应品种当日的估值全价进行估值。</w:t>
      </w:r>
    </w:p>
    <w:p>
      <w:pPr>
        <w:adjustRightInd w:val="0"/>
        <w:snapToGrid w:val="0"/>
        <w:ind w:firstLine="480" w:firstLineChars="200"/>
        <w:rPr>
          <w:rFonts w:ascii="彩虹粗仿宋" w:hAnsi="宋体" w:eastAsia="彩虹粗仿宋" w:cs="Arial"/>
          <w:bCs/>
          <w:sz w:val="24"/>
        </w:rPr>
      </w:pPr>
      <w:r>
        <w:rPr>
          <w:rFonts w:ascii="彩虹粗仿宋" w:hAnsi="宋体" w:eastAsia="彩虹粗仿宋" w:cs="Arial"/>
          <w:bCs/>
          <w:sz w:val="24"/>
        </w:rPr>
        <w:t>2</w:t>
      </w:r>
      <w:r>
        <w:rPr>
          <w:rFonts w:hint="eastAsia" w:ascii="彩虹粗仿宋" w:hAnsi="宋体" w:eastAsia="彩虹粗仿宋" w:cs="Arial"/>
          <w:bCs/>
          <w:sz w:val="24"/>
        </w:rPr>
        <w:t>）对于已上市或已挂牌转让的含权固定收益品种（另有规定的除外），选取第三方估值基准服务机构提供的相应品种当日的唯一估值全价或推荐估值全价进行估值。对于含投资者回售权的固定收益品种，行使回售权的，在回售登记日至实际收款日期间选取第三方估值基准服务机构提供的相应品种的唯一估值全价或推荐估值全价进行估值。回售登记期截止日（含当日）后未行使回售权的按照长待偿期所对应的价格进行估值。</w:t>
      </w:r>
    </w:p>
    <w:p>
      <w:pPr>
        <w:adjustRightInd w:val="0"/>
        <w:snapToGrid w:val="0"/>
        <w:ind w:firstLine="480" w:firstLineChars="200"/>
        <w:rPr>
          <w:rFonts w:ascii="彩虹粗仿宋" w:hAnsi="宋体" w:eastAsia="彩虹粗仿宋" w:cs="Arial"/>
          <w:bCs/>
          <w:sz w:val="24"/>
        </w:rPr>
      </w:pPr>
      <w:r>
        <w:rPr>
          <w:rFonts w:ascii="彩虹粗仿宋" w:hAnsi="宋体" w:eastAsia="彩虹粗仿宋" w:cs="Arial"/>
          <w:bCs/>
          <w:sz w:val="24"/>
        </w:rPr>
        <w:t>3</w:t>
      </w:r>
      <w:r>
        <w:rPr>
          <w:rFonts w:hint="eastAsia" w:ascii="彩虹粗仿宋" w:hAnsi="宋体" w:eastAsia="彩虹粗仿宋" w:cs="Arial"/>
          <w:bCs/>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pPr>
        <w:adjustRightInd w:val="0"/>
        <w:snapToGrid w:val="0"/>
        <w:ind w:firstLine="480" w:firstLineChars="200"/>
        <w:rPr>
          <w:rFonts w:ascii="彩虹粗仿宋" w:hAnsi="宋体" w:eastAsia="彩虹粗仿宋" w:cs="Arial"/>
          <w:bCs/>
          <w:sz w:val="24"/>
        </w:rPr>
      </w:pPr>
      <w:r>
        <w:rPr>
          <w:rFonts w:ascii="彩虹粗仿宋" w:hAnsi="宋体" w:eastAsia="彩虹粗仿宋" w:cs="Arial"/>
          <w:bCs/>
          <w:sz w:val="24"/>
        </w:rPr>
        <w:t>4</w:t>
      </w:r>
      <w:r>
        <w:rPr>
          <w:rFonts w:hint="eastAsia" w:ascii="彩虹粗仿宋" w:hAnsi="宋体" w:eastAsia="彩虹粗仿宋" w:cs="Arial"/>
          <w:bCs/>
          <w:sz w:val="24"/>
        </w:rPr>
        <w:t>）对于未上市或未挂牌转让且不存在活跃市场的固定收益品种，采用在当前情况下适用并且有足够可利用数据和其他信息支持的估值技术确定其公允价值。</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5）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（3）处于未上市期间的有价证券应区分如下情况处理：</w:t>
      </w:r>
    </w:p>
    <w:p>
      <w:pPr>
        <w:adjustRightInd w:val="0"/>
        <w:snapToGrid w:val="0"/>
        <w:ind w:firstLine="480" w:firstLineChars="200"/>
        <w:rPr>
          <w:rFonts w:ascii="彩虹粗仿宋" w:hAnsi="宋体" w:eastAsia="彩虹粗仿宋" w:cs="Arial"/>
          <w:bCs/>
          <w:sz w:val="24"/>
        </w:rPr>
      </w:pPr>
      <w:r>
        <w:rPr>
          <w:rFonts w:ascii="彩虹粗仿宋" w:hAnsi="宋体" w:eastAsia="彩虹粗仿宋" w:cs="Arial"/>
          <w:bCs/>
          <w:sz w:val="24"/>
        </w:rPr>
        <w:t>1</w:t>
      </w:r>
      <w:r>
        <w:rPr>
          <w:rFonts w:hint="eastAsia" w:ascii="彩虹粗仿宋" w:hAnsi="宋体" w:eastAsia="彩虹粗仿宋" w:cs="Arial"/>
          <w:bCs/>
          <w:sz w:val="24"/>
        </w:rPr>
        <w:t>）送股、转增股、配股和公开增发的新股，按估值日在证券交易所挂牌的同一股票的估值方法估值；该日无交易的，以最近一日的市价（收盘价）估值。</w:t>
      </w:r>
    </w:p>
    <w:p>
      <w:pPr>
        <w:adjustRightInd w:val="0"/>
        <w:snapToGrid w:val="0"/>
        <w:ind w:firstLine="480" w:firstLineChars="200"/>
        <w:rPr>
          <w:rFonts w:ascii="彩虹粗仿宋" w:hAnsi="宋体" w:eastAsia="彩虹粗仿宋" w:cs="Arial"/>
          <w:bCs/>
          <w:sz w:val="24"/>
        </w:rPr>
      </w:pPr>
      <w:r>
        <w:rPr>
          <w:rFonts w:ascii="彩虹粗仿宋" w:hAnsi="宋体" w:eastAsia="彩虹粗仿宋" w:cs="Arial"/>
          <w:bCs/>
          <w:sz w:val="24"/>
        </w:rPr>
        <w:t>2</w:t>
      </w:r>
      <w:r>
        <w:rPr>
          <w:rFonts w:hint="eastAsia" w:ascii="彩虹粗仿宋" w:hAnsi="宋体" w:eastAsia="彩虹粗仿宋" w:cs="Arial"/>
          <w:bCs/>
          <w:sz w:val="24"/>
        </w:rPr>
        <w:t>）首次公开发行未上市的股票，采用估值技术确定公允价值。</w:t>
      </w:r>
    </w:p>
    <w:p>
      <w:pPr>
        <w:adjustRightInd w:val="0"/>
        <w:snapToGrid w:val="0"/>
        <w:ind w:firstLine="480" w:firstLineChars="200"/>
        <w:rPr>
          <w:rFonts w:ascii="彩虹粗仿宋" w:hAnsi="宋体" w:eastAsia="彩虹粗仿宋" w:cs="Arial"/>
          <w:bCs/>
          <w:sz w:val="24"/>
        </w:rPr>
      </w:pPr>
      <w:r>
        <w:rPr>
          <w:rFonts w:ascii="彩虹粗仿宋" w:hAnsi="宋体" w:eastAsia="彩虹粗仿宋" w:cs="Arial"/>
          <w:bCs/>
          <w:sz w:val="24"/>
        </w:rPr>
        <w:t>3</w:t>
      </w:r>
      <w:r>
        <w:rPr>
          <w:rFonts w:hint="eastAsia" w:ascii="彩虹粗仿宋" w:hAnsi="宋体" w:eastAsia="彩虹粗仿宋" w:cs="Arial"/>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（4）同一证券同时在两个或两个以上市场交易的，按证券所处的市场分别估值。</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（5）股指期货合约，以估值日结算价估值；估值日无结算价的，且最近交易日后经济环境未发生重大变化的，以最近交易日的结算价估值。</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（6）港股通投资持有证券资产估值涉及到港币或其他外币币种对人民币汇率的，按基金估值日中国人民银行或其授权机构公布的人民币汇率中间价或其他可以反映公允价值的汇率进行估值。</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（7）本基金投资存托凭证的估值核算，依照境内上市交易的股票执行。</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（8）本基金参与融资业务的，按照相关法律法规、监管部门和行业协会的有关规定进行</w:t>
      </w:r>
      <w:r>
        <w:rPr>
          <w:rFonts w:hint="eastAsia" w:ascii="彩虹粗仿宋" w:hAnsi="宋体" w:eastAsia="彩虹粗仿宋" w:cs="Arial"/>
          <w:sz w:val="24"/>
        </w:rPr>
        <w:t>估值。</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（9）</w:t>
      </w:r>
      <w:r>
        <w:rPr>
          <w:rFonts w:ascii="彩虹粗仿宋" w:hAnsi="宋体" w:eastAsia="彩虹粗仿宋" w:cs="Arial"/>
          <w:bCs/>
          <w:sz w:val="24"/>
        </w:rPr>
        <w:t>如有确凿证据表明按上述方法进行估值不能客观反映其公允价值的，基金管理人可根据具体情况与基金托管人商定后，按最能反映公允价值的价格估值。</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（1</w:t>
      </w:r>
      <w:r>
        <w:rPr>
          <w:rFonts w:ascii="彩虹粗仿宋" w:hAnsi="宋体" w:eastAsia="彩虹粗仿宋" w:cs="Arial"/>
          <w:bCs/>
          <w:sz w:val="24"/>
        </w:rPr>
        <w:t>0</w:t>
      </w:r>
      <w:r>
        <w:rPr>
          <w:rFonts w:hint="eastAsia" w:ascii="彩虹粗仿宋" w:hAnsi="宋体" w:eastAsia="彩虹粗仿宋" w:cs="Arial"/>
          <w:bCs/>
          <w:sz w:val="24"/>
        </w:rPr>
        <w:t>）</w:t>
      </w:r>
      <w:r>
        <w:rPr>
          <w:rFonts w:ascii="彩虹粗仿宋" w:hAnsi="宋体" w:eastAsia="彩虹粗仿宋" w:cs="Arial"/>
          <w:bCs/>
          <w:sz w:val="24"/>
        </w:rPr>
        <w:t>当发生大额申购或赎回情形时，基金管理人可以采用摆动定价机制，以确保基金估值的公平性。</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（1</w:t>
      </w:r>
      <w:r>
        <w:rPr>
          <w:rFonts w:ascii="彩虹粗仿宋" w:hAnsi="宋体" w:eastAsia="彩虹粗仿宋" w:cs="Arial"/>
          <w:bCs/>
          <w:sz w:val="24"/>
        </w:rPr>
        <w:t>1</w:t>
      </w:r>
      <w:r>
        <w:rPr>
          <w:rFonts w:hint="eastAsia" w:ascii="彩虹粗仿宋" w:hAnsi="宋体" w:eastAsia="彩虹粗仿宋" w:cs="Arial"/>
          <w:bCs/>
          <w:sz w:val="24"/>
        </w:rPr>
        <w:t>）</w:t>
      </w:r>
      <w:r>
        <w:rPr>
          <w:rFonts w:ascii="彩虹粗仿宋" w:hAnsi="宋体" w:eastAsia="彩虹粗仿宋" w:cs="Arial"/>
          <w:bCs/>
          <w:sz w:val="24"/>
        </w:rPr>
        <w:t>相关法律法规以及监管部门</w:t>
      </w:r>
      <w:r>
        <w:rPr>
          <w:rFonts w:hint="eastAsia" w:ascii="彩虹粗仿宋" w:hAnsi="宋体" w:eastAsia="彩虹粗仿宋" w:cs="Arial"/>
          <w:bCs/>
          <w:sz w:val="24"/>
        </w:rPr>
        <w:t>、自律规则另有</w:t>
      </w:r>
      <w:r>
        <w:rPr>
          <w:rFonts w:ascii="彩虹粗仿宋" w:hAnsi="宋体" w:eastAsia="彩虹粗仿宋" w:cs="Arial"/>
          <w:bCs/>
          <w:sz w:val="24"/>
        </w:rPr>
        <w:t>规定的，从其规定。如有新增事项，按国家最新规定估值。</w:t>
      </w:r>
    </w:p>
    <w:p>
      <w:pPr>
        <w:adjustRightInd w:val="0"/>
        <w:snapToGrid w:val="0"/>
        <w:ind w:firstLine="480" w:firstLineChars="200"/>
        <w:rPr>
          <w:rFonts w:ascii="彩虹粗仿宋" w:hAnsi="宋体" w:eastAsia="彩虹粗仿宋" w:cs="Arial"/>
          <w:bCs/>
          <w:sz w:val="24"/>
        </w:rPr>
      </w:pPr>
      <w:r>
        <w:rPr>
          <w:rFonts w:ascii="彩虹粗仿宋" w:hAnsi="宋体" w:eastAsia="彩虹粗仿宋" w:cs="Arial"/>
          <w:bCs/>
          <w:sz w:val="24"/>
        </w:rPr>
        <w:t>如基金管理人或基金托管人发现基金估值违反基金合同订明的估值方法、程序及相关法律法规的规定或者未能充分维护基金份额持有人利益时，应立即通知对方，共同查明原因，双方协商解决。</w:t>
      </w:r>
    </w:p>
    <w:p>
      <w:pPr>
        <w:adjustRightInd w:val="0"/>
        <w:snapToGrid w:val="0"/>
        <w:ind w:firstLine="480"/>
        <w:rPr>
          <w:rFonts w:ascii="彩虹粗仿宋" w:hAnsi="宋体" w:eastAsia="彩虹粗仿宋" w:cs="Arial"/>
          <w:bCs/>
          <w:sz w:val="24"/>
        </w:rPr>
      </w:pPr>
      <w:r>
        <w:rPr>
          <w:rFonts w:ascii="彩虹粗仿宋" w:hAnsi="宋体" w:eastAsia="彩虹粗仿宋" w:cs="Arial"/>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Pr>
          <w:rFonts w:hint="eastAsia" w:ascii="彩虹粗仿宋" w:hAnsi="宋体" w:eastAsia="彩虹粗仿宋" w:cs="Arial"/>
          <w:bCs/>
          <w:sz w:val="24"/>
        </w:rPr>
        <w:t>基金管理人向基金托管人出具盖章的书面说明后，</w:t>
      </w:r>
      <w:r>
        <w:rPr>
          <w:rFonts w:ascii="彩虹粗仿宋" w:hAnsi="宋体" w:eastAsia="彩虹粗仿宋" w:cs="Arial"/>
          <w:bCs/>
          <w:sz w:val="24"/>
        </w:rPr>
        <w:t>按照基金管理人对基金</w:t>
      </w:r>
      <w:r>
        <w:rPr>
          <w:rFonts w:hint="eastAsia" w:ascii="彩虹粗仿宋" w:hAnsi="宋体" w:eastAsia="彩虹粗仿宋" w:cs="Arial"/>
          <w:bCs/>
          <w:sz w:val="24"/>
        </w:rPr>
        <w:t>净值</w:t>
      </w:r>
      <w:r>
        <w:rPr>
          <w:rFonts w:ascii="彩虹粗仿宋" w:hAnsi="宋体" w:eastAsia="彩虹粗仿宋" w:cs="Arial"/>
          <w:bCs/>
          <w:sz w:val="24"/>
        </w:rPr>
        <w:t>信息的计算结果对外予以公布。</w:t>
      </w:r>
    </w:p>
    <w:p>
      <w:pPr>
        <w:adjustRightInd w:val="0"/>
        <w:snapToGrid w:val="0"/>
        <w:ind w:firstLine="480"/>
        <w:rPr>
          <w:rStyle w:val="47"/>
          <w:rFonts w:ascii="彩虹粗仿宋" w:hAnsi="宋体" w:eastAsia="彩虹粗仿宋" w:cs="Arial"/>
          <w:sz w:val="24"/>
        </w:rPr>
      </w:pPr>
      <w:r>
        <w:rPr>
          <w:rStyle w:val="47"/>
          <w:rFonts w:hint="eastAsia" w:ascii="彩虹粗仿宋" w:hAnsi="宋体" w:eastAsia="彩虹粗仿宋" w:cs="Arial"/>
          <w:sz w:val="24"/>
        </w:rPr>
        <w:t>3.特殊情形的处理</w:t>
      </w:r>
    </w:p>
    <w:p>
      <w:pPr>
        <w:adjustRightInd w:val="0"/>
        <w:snapToGrid w:val="0"/>
        <w:ind w:firstLine="480" w:firstLineChars="200"/>
        <w:rPr>
          <w:rStyle w:val="47"/>
          <w:rFonts w:ascii="彩虹粗仿宋" w:eastAsia="彩虹粗仿宋"/>
          <w:sz w:val="24"/>
        </w:rPr>
      </w:pPr>
      <w:r>
        <w:rPr>
          <w:rStyle w:val="47"/>
          <w:rFonts w:hint="eastAsia" w:ascii="彩虹粗仿宋" w:hAnsi="宋体" w:eastAsia="彩虹粗仿宋" w:cs="Arial"/>
          <w:sz w:val="24"/>
        </w:rPr>
        <w:t>(</w:t>
      </w:r>
      <w:r>
        <w:rPr>
          <w:rStyle w:val="47"/>
          <w:rFonts w:ascii="彩虹粗仿宋" w:hAnsi="宋体" w:eastAsia="彩虹粗仿宋" w:cs="Arial"/>
          <w:sz w:val="24"/>
        </w:rPr>
        <w:t>1)</w:t>
      </w:r>
      <w:r>
        <w:rPr>
          <w:rStyle w:val="47"/>
          <w:rFonts w:hint="eastAsia" w:ascii="彩虹粗仿宋" w:hAnsi="宋体" w:eastAsia="彩虹粗仿宋" w:cs="Arial"/>
          <w:sz w:val="24"/>
        </w:rPr>
        <w:t>基金管理人、基金托管人按估值方法的第（9）项进行估值时，所造成的误差不作为基金资产估值</w:t>
      </w:r>
      <w:r>
        <w:rPr>
          <w:rStyle w:val="47"/>
          <w:rFonts w:hint="eastAsia" w:ascii="彩虹粗仿宋" w:eastAsia="彩虹粗仿宋"/>
          <w:sz w:val="24"/>
        </w:rPr>
        <w:t>错误处理。</w:t>
      </w:r>
    </w:p>
    <w:p>
      <w:pPr>
        <w:adjustRightInd w:val="0"/>
        <w:snapToGrid w:val="0"/>
        <w:ind w:firstLine="480" w:firstLineChars="200"/>
        <w:rPr>
          <w:rStyle w:val="47"/>
          <w:rFonts w:ascii="彩虹粗仿宋" w:eastAsia="彩虹粗仿宋"/>
          <w:sz w:val="24"/>
        </w:rPr>
      </w:pPr>
      <w:r>
        <w:rPr>
          <w:rStyle w:val="47"/>
          <w:rFonts w:hint="eastAsia" w:ascii="彩虹粗仿宋" w:eastAsia="彩虹粗仿宋"/>
          <w:sz w:val="24"/>
        </w:rPr>
        <w:t>(</w:t>
      </w:r>
      <w:r>
        <w:rPr>
          <w:rStyle w:val="47"/>
          <w:rFonts w:ascii="彩虹粗仿宋" w:eastAsia="彩虹粗仿宋"/>
          <w:sz w:val="24"/>
        </w:rPr>
        <w:t>2)</w:t>
      </w:r>
      <w:r>
        <w:rPr>
          <w:rFonts w:hint="eastAsia"/>
        </w:rPr>
        <w:t xml:space="preserve"> </w:t>
      </w:r>
      <w:r>
        <w:rPr>
          <w:rStyle w:val="47"/>
          <w:rFonts w:hint="eastAsia" w:ascii="彩虹粗仿宋" w:eastAsia="彩虹粗仿宋"/>
          <w:sz w:val="24"/>
        </w:rPr>
        <w:t>由于不可抗力原因，或由于证券/期货交易所、外汇市场、登记结算公司、证券经纪机构以及存款银行等第三方机构发送的数据错误、遗漏，或由于国家会计政策变更、市场规则变更等非基金管理人与基金托管人原因，基金管理人和基金托管人虽然已经采取必要、适当、合理的措施进行检查，但是未能发现该错误而造成的基金资产净值计算错误，基金管理人和基金托管人免除赔偿责任。但基金管理人、基金托管人应当积极采取必要的措施减轻或消除由此造成的影响。</w:t>
      </w:r>
    </w:p>
    <w:p>
      <w:pPr>
        <w:adjustRightInd w:val="0"/>
        <w:snapToGrid w:val="0"/>
        <w:ind w:firstLine="480" w:firstLineChars="200"/>
        <w:rPr>
          <w:rFonts w:ascii="彩虹粗仿宋" w:eastAsia="彩虹粗仿宋"/>
          <w:sz w:val="24"/>
        </w:rPr>
      </w:pPr>
      <w:r>
        <w:rPr>
          <w:rStyle w:val="47"/>
          <w:rFonts w:hint="eastAsia" w:ascii="彩虹粗仿宋" w:eastAsia="彩虹粗仿宋"/>
          <w:sz w:val="24"/>
        </w:rPr>
        <w:t>（三）</w:t>
      </w:r>
      <w:r>
        <w:rPr>
          <w:rFonts w:ascii="彩虹粗仿宋" w:eastAsia="彩虹粗仿宋"/>
          <w:sz w:val="24"/>
        </w:rPr>
        <w:t xml:space="preserve">估值错误的处理 </w:t>
      </w:r>
    </w:p>
    <w:p>
      <w:pPr>
        <w:adjustRightInd w:val="0"/>
        <w:snapToGrid w:val="0"/>
        <w:ind w:firstLine="480" w:firstLineChars="200"/>
        <w:rPr>
          <w:rFonts w:ascii="彩虹粗仿宋" w:eastAsia="彩虹粗仿宋"/>
          <w:sz w:val="24"/>
        </w:rPr>
      </w:pPr>
      <w:r>
        <w:rPr>
          <w:rFonts w:ascii="彩虹粗仿宋" w:eastAsia="彩虹粗仿宋"/>
          <w:sz w:val="24"/>
        </w:rPr>
        <w:t>1.基金管理人和基金托管人将采取必要、适当、合理的措施确保基金资产估值的准确性、及时性。当任一类别基金份额净值小数点后4 位以内(含第4 位)发生估值错误时，视为该类基金份额估值错误。任一类基金份额净值计算出现错误时，基金管理人应当立即予以纠正，通报基金托管人，并采取合理的措施防止损失进一步扩大。错误偏差达到该类基金份额净值的 0.25%时，基金管理人应当通报基金托管人并报中国证监会备案；错误偏差达到该类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pPr>
        <w:adjustRightInd w:val="0"/>
        <w:snapToGrid w:val="0"/>
        <w:ind w:firstLine="480" w:firstLineChars="200"/>
        <w:rPr>
          <w:rStyle w:val="47"/>
          <w:rFonts w:ascii="彩虹粗仿宋" w:eastAsia="彩虹粗仿宋"/>
          <w:sz w:val="24"/>
        </w:rPr>
      </w:pPr>
      <w:r>
        <w:rPr>
          <w:rStyle w:val="47"/>
          <w:rFonts w:hint="eastAsia" w:ascii="彩虹粗仿宋" w:eastAsia="彩虹粗仿宋"/>
          <w:sz w:val="24"/>
        </w:rPr>
        <w:t>2.当任一类基金份额净值计算差错给基金和基金份额持有人造成损失需要进行赔偿时，基金管理人和基金托管人应根据实际情况界定双方承担的责任，经确认后按以下条款进行赔偿：</w:t>
      </w:r>
    </w:p>
    <w:p>
      <w:pPr>
        <w:adjustRightInd w:val="0"/>
        <w:snapToGrid w:val="0"/>
        <w:ind w:firstLine="480" w:firstLineChars="200"/>
        <w:rPr>
          <w:rFonts w:ascii="彩虹粗仿宋" w:hAnsi="宋体" w:eastAsia="彩虹粗仿宋" w:cs="Arial"/>
          <w:sz w:val="24"/>
        </w:rPr>
      </w:pPr>
      <w:r>
        <w:rPr>
          <w:rStyle w:val="47"/>
          <w:rFonts w:hint="eastAsia" w:ascii="彩虹粗仿宋" w:eastAsia="彩虹粗仿宋"/>
          <w:sz w:val="24"/>
        </w:rPr>
        <w:t>(1)本基金的基金会计责任方由基金管理人担任，与本基金有关的会计问题，如经双方在平等基础上充分讨论后，尚不能达成一致时，按基金管理人的建议执行，由此给基金份额持有人和基金财产造成的</w:t>
      </w:r>
      <w:r>
        <w:rPr>
          <w:rFonts w:hint="eastAsia" w:ascii="彩虹粗仿宋" w:hAnsi="宋体" w:eastAsia="彩虹粗仿宋" w:cs="Arial"/>
          <w:sz w:val="24"/>
        </w:rPr>
        <w:t>损失，由基金管理人负责赔付。</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w:t>
      </w:r>
      <w:r>
        <w:rPr>
          <w:rFonts w:hint="eastAsia" w:ascii="彩虹粗仿宋" w:eastAsia="彩虹粗仿宋"/>
          <w:kern w:val="0"/>
          <w:sz w:val="24"/>
        </w:rPr>
        <w:t>若基金管理人计算的各类基金份额净值已由基金托管人复核确认后公告，而且基金托管人未对计算过程提出疑义或要求基金管理人书面说明，</w:t>
      </w:r>
      <w:r>
        <w:rPr>
          <w:rStyle w:val="47"/>
          <w:rFonts w:hint="eastAsia" w:ascii="彩虹粗仿宋" w:eastAsia="彩虹粗仿宋"/>
          <w:sz w:val="24"/>
        </w:rPr>
        <w:t>任一类</w:t>
      </w:r>
      <w:r>
        <w:rPr>
          <w:rFonts w:hint="eastAsia" w:ascii="彩虹粗仿宋" w:eastAsia="彩虹粗仿宋"/>
          <w:kern w:val="0"/>
          <w:sz w:val="24"/>
        </w:rPr>
        <w:t>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(3)如基金管理人和基金托管人对</w:t>
      </w:r>
      <w:r>
        <w:rPr>
          <w:rStyle w:val="47"/>
          <w:rFonts w:hint="eastAsia" w:ascii="彩虹粗仿宋" w:eastAsia="彩虹粗仿宋"/>
          <w:sz w:val="24"/>
        </w:rPr>
        <w:t>各类</w:t>
      </w:r>
      <w:r>
        <w:rPr>
          <w:rFonts w:hint="eastAsia" w:ascii="彩虹粗仿宋" w:hAnsi="宋体" w:eastAsia="彩虹粗仿宋" w:cs="Arial"/>
          <w:sz w:val="24"/>
        </w:rPr>
        <w:t>基金份额净值的计算结果，虽然多次重新计算和核对，尚不能达成一致时，为避免不能按时公布</w:t>
      </w:r>
      <w:r>
        <w:rPr>
          <w:rFonts w:hint="eastAsia" w:ascii="彩虹粗仿宋" w:eastAsia="彩虹粗仿宋"/>
          <w:kern w:val="0"/>
          <w:sz w:val="24"/>
        </w:rPr>
        <w:t>各类</w:t>
      </w:r>
      <w:r>
        <w:rPr>
          <w:rFonts w:hint="eastAsia" w:ascii="彩虹粗仿宋" w:hAnsi="宋体" w:eastAsia="彩虹粗仿宋" w:cs="Arial"/>
          <w:sz w:val="24"/>
        </w:rPr>
        <w:t>基金份额净值的情形，以基金管理人的计算结果对外公布，由此给基金份额持有人和基金造成的损失，由基金管理人负责赔付。</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(4)</w:t>
      </w:r>
      <w:r>
        <w:rPr>
          <w:rFonts w:hint="eastAsia" w:ascii="彩虹粗仿宋" w:eastAsia="彩虹粗仿宋"/>
          <w:kern w:val="0"/>
          <w:sz w:val="24"/>
        </w:rPr>
        <w:t>由于基金管理人提供的信息错误（包括但不限于基金申购或赎回金额等），进而导致各类基金份额净值计算错误而引起的基金份额持有人和基金财产的损失，由基金管理人负责赔付。</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3.基金管理人和基金托管人由于各自技术系统设置而产生的净值计算尾差，以基金管理人计算结果为准。</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4.前述内容如法律法规或者监管部门另有规定的，从其规定。如果行业另有通行做法，双方当事人应本着平等和保护基金份额持有人利益的原则进行协商。</w:t>
      </w:r>
    </w:p>
    <w:p>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（四）暂停估值与公告基金份额净值的情形</w:t>
      </w:r>
    </w:p>
    <w:p>
      <w:pPr>
        <w:adjustRightInd w:val="0"/>
        <w:snapToGrid w:val="0"/>
        <w:ind w:firstLine="480" w:firstLineChars="200"/>
        <w:outlineLvl w:val="0"/>
        <w:rPr>
          <w:rFonts w:ascii="彩虹粗仿宋" w:hAnsi="宋体" w:eastAsia="彩虹粗仿宋" w:cs="Arial"/>
          <w:bCs/>
          <w:sz w:val="24"/>
        </w:rPr>
      </w:pPr>
      <w:r>
        <w:rPr>
          <w:rFonts w:ascii="彩虹粗仿宋" w:hAnsi="宋体" w:eastAsia="彩虹粗仿宋" w:cs="Arial"/>
          <w:bCs/>
          <w:sz w:val="24"/>
        </w:rPr>
        <w:t>1</w:t>
      </w:r>
      <w:r>
        <w:rPr>
          <w:rFonts w:hint="eastAsia" w:ascii="彩虹粗仿宋" w:hAnsi="宋体" w:eastAsia="彩虹粗仿宋" w:cs="Arial"/>
          <w:bCs/>
          <w:sz w:val="24"/>
        </w:rPr>
        <w:t>.</w:t>
      </w:r>
      <w:r>
        <w:rPr>
          <w:rFonts w:ascii="彩虹粗仿宋" w:hAnsi="宋体" w:eastAsia="彩虹粗仿宋" w:cs="Arial"/>
          <w:bCs/>
          <w:sz w:val="24"/>
        </w:rPr>
        <w:t>基金投资所涉及的证券</w:t>
      </w:r>
      <w:r>
        <w:rPr>
          <w:rFonts w:hint="eastAsia" w:ascii="彩虹粗仿宋" w:hAnsi="宋体" w:eastAsia="彩虹粗仿宋" w:cs="Arial"/>
          <w:bCs/>
          <w:sz w:val="24"/>
        </w:rPr>
        <w:t>/期货</w:t>
      </w:r>
      <w:r>
        <w:rPr>
          <w:rFonts w:ascii="彩虹粗仿宋" w:hAnsi="宋体" w:eastAsia="彩虹粗仿宋" w:cs="Arial"/>
          <w:bCs/>
          <w:sz w:val="24"/>
        </w:rPr>
        <w:t>交易市场</w:t>
      </w:r>
      <w:r>
        <w:rPr>
          <w:rFonts w:hint="eastAsia" w:ascii="彩虹粗仿宋" w:hAnsi="宋体" w:eastAsia="彩虹粗仿宋" w:cs="Arial"/>
          <w:bCs/>
          <w:sz w:val="24"/>
        </w:rPr>
        <w:t>、外汇市场</w:t>
      </w:r>
      <w:r>
        <w:rPr>
          <w:rFonts w:ascii="彩虹粗仿宋" w:hAnsi="宋体" w:eastAsia="彩虹粗仿宋" w:cs="Arial"/>
          <w:bCs/>
          <w:sz w:val="24"/>
        </w:rPr>
        <w:t>遇法定节假日或因其他原因暂停营业</w:t>
      </w:r>
      <w:r>
        <w:rPr>
          <w:rFonts w:hint="eastAsia" w:ascii="彩虹粗仿宋" w:hAnsi="宋体" w:eastAsia="彩虹粗仿宋" w:cs="Arial"/>
          <w:bCs/>
          <w:sz w:val="24"/>
        </w:rPr>
        <w:t>或港股通临时暂停</w:t>
      </w:r>
      <w:r>
        <w:rPr>
          <w:rFonts w:ascii="彩虹粗仿宋" w:hAnsi="宋体" w:eastAsia="彩虹粗仿宋" w:cs="Arial"/>
          <w:bCs/>
          <w:sz w:val="24"/>
        </w:rPr>
        <w:t>时；</w:t>
      </w:r>
    </w:p>
    <w:p>
      <w:pPr>
        <w:adjustRightInd w:val="0"/>
        <w:snapToGrid w:val="0"/>
        <w:ind w:firstLine="480" w:firstLineChars="200"/>
        <w:outlineLvl w:val="0"/>
        <w:rPr>
          <w:rFonts w:ascii="彩虹粗仿宋" w:hAnsi="宋体" w:eastAsia="彩虹粗仿宋" w:cs="Arial"/>
          <w:bCs/>
          <w:sz w:val="24"/>
        </w:rPr>
      </w:pPr>
      <w:r>
        <w:rPr>
          <w:rFonts w:ascii="彩虹粗仿宋" w:hAnsi="宋体" w:eastAsia="彩虹粗仿宋" w:cs="Arial"/>
          <w:bCs/>
          <w:sz w:val="24"/>
        </w:rPr>
        <w:t>2</w:t>
      </w:r>
      <w:r>
        <w:rPr>
          <w:rFonts w:hint="eastAsia" w:ascii="彩虹粗仿宋" w:hAnsi="宋体" w:eastAsia="彩虹粗仿宋" w:cs="Arial"/>
          <w:bCs/>
          <w:sz w:val="24"/>
        </w:rPr>
        <w:t>.</w:t>
      </w:r>
      <w:r>
        <w:rPr>
          <w:rFonts w:ascii="彩虹粗仿宋" w:hAnsi="宋体" w:eastAsia="彩虹粗仿宋" w:cs="Arial"/>
          <w:bCs/>
          <w:sz w:val="24"/>
        </w:rPr>
        <w:t>因不可抗力致使基金管理人、基金托管人无法准确评估基金资产价值时；</w:t>
      </w:r>
    </w:p>
    <w:p>
      <w:pPr>
        <w:adjustRightInd w:val="0"/>
        <w:snapToGrid w:val="0"/>
        <w:ind w:firstLine="480" w:firstLineChars="200"/>
        <w:outlineLvl w:val="0"/>
        <w:rPr>
          <w:rFonts w:ascii="彩虹粗仿宋" w:hAnsi="宋体" w:eastAsia="彩虹粗仿宋" w:cs="Arial"/>
          <w:bCs/>
          <w:sz w:val="24"/>
        </w:rPr>
      </w:pPr>
      <w:r>
        <w:rPr>
          <w:rFonts w:ascii="彩虹粗仿宋" w:hAnsi="宋体" w:eastAsia="彩虹粗仿宋" w:cs="Arial"/>
          <w:bCs/>
          <w:sz w:val="24"/>
        </w:rPr>
        <w:t>3</w:t>
      </w:r>
      <w:r>
        <w:rPr>
          <w:rFonts w:hint="eastAsia" w:ascii="彩虹粗仿宋" w:hAnsi="宋体" w:eastAsia="彩虹粗仿宋" w:cs="Arial"/>
          <w:bCs/>
          <w:sz w:val="24"/>
        </w:rPr>
        <w:t>.</w:t>
      </w:r>
      <w:r>
        <w:rPr>
          <w:rFonts w:ascii="彩虹粗仿宋" w:hAnsi="宋体" w:eastAsia="彩虹粗仿宋" w:cs="Arial"/>
          <w:bCs/>
          <w:sz w:val="24"/>
        </w:rPr>
        <w:t>当特定资产占前一估值日基金资产净值50%以上的，经与基金托管人协商确认后，基金管理人应当暂停估值；</w:t>
      </w:r>
    </w:p>
    <w:p>
      <w:pPr>
        <w:adjustRightInd w:val="0"/>
        <w:snapToGrid w:val="0"/>
        <w:ind w:firstLine="480" w:firstLineChars="200"/>
        <w:outlineLvl w:val="0"/>
        <w:rPr>
          <w:rFonts w:ascii="彩虹粗仿宋" w:hAnsi="宋体" w:eastAsia="彩虹粗仿宋" w:cs="Arial"/>
          <w:bCs/>
          <w:sz w:val="24"/>
        </w:rPr>
      </w:pPr>
      <w:r>
        <w:rPr>
          <w:rFonts w:ascii="彩虹粗仿宋" w:hAnsi="宋体" w:eastAsia="彩虹粗仿宋" w:cs="Arial"/>
          <w:bCs/>
          <w:sz w:val="24"/>
        </w:rPr>
        <w:t>4</w:t>
      </w:r>
      <w:r>
        <w:rPr>
          <w:rFonts w:hint="eastAsia" w:ascii="彩虹粗仿宋" w:hAnsi="宋体" w:eastAsia="彩虹粗仿宋" w:cs="Arial"/>
          <w:bCs/>
          <w:sz w:val="24"/>
        </w:rPr>
        <w:t>.法律法规、</w:t>
      </w:r>
      <w:r>
        <w:rPr>
          <w:rFonts w:ascii="彩虹粗仿宋" w:hAnsi="宋体" w:eastAsia="彩虹粗仿宋" w:cs="Arial"/>
          <w:bCs/>
          <w:sz w:val="24"/>
        </w:rPr>
        <w:t>中国证监会和基金合同认定的其它情形。</w:t>
      </w:r>
    </w:p>
    <w:p>
      <w:pPr>
        <w:adjustRightInd w:val="0"/>
        <w:snapToGrid w:val="0"/>
        <w:ind w:firstLine="480" w:firstLineChars="200"/>
        <w:outlineLvl w:val="0"/>
        <w:rPr>
          <w:rFonts w:ascii="彩虹粗仿宋" w:hAnsi="宋体" w:eastAsia="彩虹粗仿宋" w:cs="Arial"/>
          <w:bCs/>
          <w:sz w:val="24"/>
        </w:rPr>
      </w:pPr>
      <w:r>
        <w:rPr>
          <w:rFonts w:ascii="彩虹粗仿宋" w:hAnsi="宋体" w:eastAsia="彩虹粗仿宋" w:cs="Arial"/>
          <w:bCs/>
          <w:sz w:val="24"/>
        </w:rPr>
        <w:t xml:space="preserve">（五）基金净值的确认 </w:t>
      </w:r>
    </w:p>
    <w:p>
      <w:pPr>
        <w:adjustRightInd w:val="0"/>
        <w:snapToGrid w:val="0"/>
        <w:ind w:firstLine="480" w:firstLineChars="200"/>
        <w:outlineLvl w:val="0"/>
        <w:rPr>
          <w:rFonts w:ascii="彩虹粗仿宋" w:hAnsi="宋体" w:eastAsia="彩虹粗仿宋" w:cs="Arial"/>
          <w:bCs/>
          <w:sz w:val="24"/>
        </w:rPr>
      </w:pPr>
      <w:r>
        <w:rPr>
          <w:rFonts w:ascii="彩虹粗仿宋" w:hAnsi="宋体" w:eastAsia="彩虹粗仿宋" w:cs="Arial"/>
          <w:bCs/>
          <w:sz w:val="24"/>
        </w:rPr>
        <w:t>基金资产净值和各类基金份额的基金份额净值由基金管理人负责计算，基金托管人负责进行复核。基金管理人应于每个工作日交易结束后计算当日的基金资产净值和各类基金份额的基金份额净值并发送给基金托管人。基金托管人对净值计算结果复核确认后发送给基金管理人，由基金管理人对基金净值信息予以公布。</w:t>
      </w:r>
    </w:p>
    <w:p>
      <w:pPr>
        <w:adjustRightInd w:val="0"/>
        <w:snapToGrid w:val="0"/>
        <w:ind w:firstLine="480" w:firstLineChars="200"/>
        <w:outlineLvl w:val="0"/>
        <w:rPr>
          <w:rFonts w:ascii="彩虹粗仿宋" w:hAnsi="宋体" w:eastAsia="彩虹粗仿宋" w:cs="Arial"/>
          <w:bCs/>
          <w:sz w:val="24"/>
        </w:rPr>
      </w:pPr>
      <w:r>
        <w:rPr>
          <w:rFonts w:hint="eastAsia" w:ascii="彩虹粗仿宋" w:hAnsi="宋体" w:eastAsia="彩虹粗仿宋" w:cs="Arial"/>
          <w:bCs/>
          <w:sz w:val="24"/>
        </w:rPr>
        <w:t>本基金在每个工作日计算基金资产净值及各类基金份额净值时，将统一按前一日基金资产净值的1.20%的年费率计算管理费，投资者实际承担的管理费将依据基金合同“第十五部分  基金费用与税收”的约定计算和收取。</w:t>
      </w:r>
    </w:p>
    <w:p>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（六）基金会计制度</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按国家有关部门规定的会计制度执行。</w:t>
      </w:r>
    </w:p>
    <w:p>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（七）基金账册的建立</w:t>
      </w:r>
    </w:p>
    <w:p>
      <w:pPr>
        <w:adjustRightInd w:val="0"/>
        <w:snapToGrid w:val="0"/>
        <w:ind w:firstLine="480" w:firstLineChars="200"/>
        <w:outlineLvl w:val="0"/>
        <w:rPr>
          <w:rFonts w:ascii="彩虹粗仿宋" w:hAnsi="宋体" w:eastAsia="彩虹粗仿宋" w:cs="Arial"/>
          <w:sz w:val="24"/>
        </w:rPr>
      </w:pPr>
      <w:r>
        <w:rPr>
          <w:rFonts w:ascii="彩虹粗仿宋" w:hAnsi="宋体" w:eastAsia="彩虹粗仿宋" w:cs="Arial"/>
          <w:sz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（八）基金财务报表与报告的编制和复核</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1.报表与报告的编制</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基金财务报表与报告由基金管理人编制，基金托管人复核。</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w:t>
      </w:r>
      <w:r>
        <w:rPr>
          <w:rFonts w:ascii="彩虹粗仿宋" w:hAnsi="宋体" w:eastAsia="彩虹粗仿宋" w:cs="Arial"/>
          <w:sz w:val="24"/>
        </w:rPr>
        <w:t>基金年度报告的财务会计报告应当经过符合《中华人民共和国证券法》规定的会计师事务所审计。</w:t>
      </w:r>
      <w:r>
        <w:rPr>
          <w:rFonts w:hint="eastAsia" w:ascii="彩虹粗仿宋" w:hAnsi="宋体" w:eastAsia="彩虹粗仿宋" w:cs="Arial"/>
          <w:sz w:val="24"/>
        </w:rPr>
        <w:t>《基金合同》生效不足两个月的，基金管理人可以不编制当期季度报告、中期报告或者年度报告。</w:t>
      </w:r>
    </w:p>
    <w:p>
      <w:pPr>
        <w:pStyle w:val="3"/>
        <w:adjustRightInd w:val="0"/>
        <w:snapToGrid w:val="0"/>
        <w:ind w:firstLine="480"/>
        <w:rPr>
          <w:rFonts w:ascii="彩虹粗仿宋" w:hAnsi="宋体" w:eastAsia="彩虹粗仿宋" w:cs="Arial"/>
          <w:sz w:val="24"/>
        </w:rPr>
      </w:pPr>
      <w:r>
        <w:rPr>
          <w:rFonts w:ascii="彩虹粗仿宋" w:hAnsi="宋体" w:eastAsia="彩虹粗仿宋" w:cs="Arial"/>
          <w:sz w:val="24"/>
        </w:rPr>
        <w:t>2.</w:t>
      </w:r>
      <w:r>
        <w:rPr>
          <w:rFonts w:hint="eastAsia" w:ascii="彩虹粗仿宋" w:hAnsi="宋体" w:eastAsia="彩虹粗仿宋" w:cs="Arial"/>
          <w:sz w:val="24"/>
        </w:rPr>
        <w:t>报表与报告的复核</w:t>
      </w:r>
    </w:p>
    <w:p>
      <w:pPr>
        <w:pStyle w:val="3"/>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基金管理人应及时完成报表与报告的编制，将有关报表与报告提供基金托管人复核。基金托管人在收到基金管理人编制的基金财务报表与报告后，进行独立的复核；核对不符时，应及时通知基金管理人共同查出原因，进行调整，调整以国家有关规定为准，直至双方数据完全一致。</w:t>
      </w:r>
    </w:p>
    <w:p>
      <w:pPr>
        <w:pStyle w:val="3"/>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基金管理人应留足充分的时间，便于基金托管人复核相关报表及报告。如果基金管理人与基金托管人不能于应当发布公告之日之前就相关报表及报告达成一致，基金管理人按照其编制的报表及报告对外发布公告，基金托管人有权就相关情况报中国证监会备案。</w:t>
      </w:r>
    </w:p>
    <w:p>
      <w:pPr>
        <w:pStyle w:val="3"/>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（九）基金管理人应在编制季度报告、中期报告或者年度报告之前及时向基金托管人提供基金业绩比较基准的基础数据和编制结果。</w:t>
      </w:r>
    </w:p>
    <w:p>
      <w:pPr>
        <w:pStyle w:val="3"/>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（十）实施侧袋机制期间的基金资产估值</w:t>
      </w:r>
    </w:p>
    <w:p>
      <w:pPr>
        <w:pStyle w:val="3"/>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本基金实施侧袋机制的，应根据本部分的约定对主袋账户资产进行估值并披露主袋账户的基金净值信息，暂停披露侧袋账户份额净值。</w:t>
      </w:r>
    </w:p>
    <w:p>
      <w:pPr>
        <w:pStyle w:val="3"/>
        <w:adjustRightInd w:val="0"/>
        <w:snapToGrid w:val="0"/>
        <w:ind w:firstLine="0" w:firstLineChars="0"/>
        <w:rPr>
          <w:rFonts w:ascii="彩虹粗仿宋" w:hAnsi="宋体" w:eastAsia="彩虹粗仿宋" w:cs="Arial"/>
          <w:sz w:val="24"/>
        </w:rPr>
      </w:pPr>
    </w:p>
    <w:p>
      <w:pPr>
        <w:pStyle w:val="2"/>
        <w:jc w:val="center"/>
        <w:rPr>
          <w:rFonts w:ascii="彩虹粗仿宋" w:eastAsia="彩虹粗仿宋"/>
          <w:sz w:val="30"/>
        </w:rPr>
      </w:pPr>
      <w:bookmarkStart w:id="86" w:name="_Toc124325893"/>
      <w:r>
        <w:rPr>
          <w:rFonts w:hint="eastAsia" w:ascii="彩虹粗仿宋" w:eastAsia="彩虹粗仿宋"/>
          <w:sz w:val="30"/>
        </w:rPr>
        <w:t>九、基金收益分配</w:t>
      </w:r>
      <w:bookmarkEnd w:id="86"/>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基金收益分配是指按规定将基金的可分配收益按基金份额进行比例分配。</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（一）基金收益分配的原则</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基金收益分配应遵循下列原则：</w:t>
      </w:r>
    </w:p>
    <w:p>
      <w:pPr>
        <w:adjustRightInd w:val="0"/>
        <w:snapToGrid w:val="0"/>
        <w:ind w:firstLine="480" w:firstLineChars="200"/>
        <w:rPr>
          <w:rFonts w:ascii="彩虹粗仿宋" w:hAnsi="宋体" w:eastAsia="彩虹粗仿宋" w:cs="Arial"/>
          <w:bCs/>
          <w:sz w:val="24"/>
        </w:rPr>
      </w:pPr>
      <w:r>
        <w:rPr>
          <w:rFonts w:ascii="彩虹粗仿宋" w:hAnsi="宋体" w:eastAsia="彩虹粗仿宋" w:cs="Arial"/>
          <w:bCs/>
          <w:sz w:val="24"/>
        </w:rPr>
        <w:t>1、在符合有关基金分红条件的前提下，</w:t>
      </w:r>
      <w:r>
        <w:rPr>
          <w:rFonts w:hint="eastAsia" w:ascii="彩虹粗仿宋" w:hAnsi="宋体" w:eastAsia="彩虹粗仿宋" w:cs="Arial"/>
          <w:bCs/>
          <w:sz w:val="24"/>
        </w:rPr>
        <w:t>本基金管理人可以根据实际情况进行收益分配，具体分配方案以公告为准</w:t>
      </w:r>
      <w:r>
        <w:rPr>
          <w:rFonts w:ascii="彩虹粗仿宋" w:hAnsi="宋体" w:eastAsia="彩虹粗仿宋" w:cs="Arial"/>
          <w:bCs/>
          <w:sz w:val="24"/>
        </w:rPr>
        <w:t>，若《基金合同》生效不满3个月可不进行收益分配；</w:t>
      </w:r>
    </w:p>
    <w:p>
      <w:pPr>
        <w:adjustRightInd w:val="0"/>
        <w:snapToGrid w:val="0"/>
        <w:ind w:firstLine="480" w:firstLineChars="200"/>
        <w:rPr>
          <w:rFonts w:ascii="彩虹粗仿宋" w:hAnsi="宋体" w:eastAsia="彩虹粗仿宋" w:cs="Arial"/>
          <w:bCs/>
          <w:sz w:val="24"/>
        </w:rPr>
      </w:pPr>
      <w:r>
        <w:rPr>
          <w:rFonts w:ascii="彩虹粗仿宋" w:hAnsi="宋体" w:eastAsia="彩虹粗仿宋" w:cs="Arial"/>
          <w:bCs/>
          <w:sz w:val="24"/>
        </w:rPr>
        <w:t>2、本基金收益分配方式</w:t>
      </w:r>
      <w:r>
        <w:rPr>
          <w:rFonts w:hint="eastAsia" w:ascii="彩虹粗仿宋" w:hAnsi="宋体" w:eastAsia="彩虹粗仿宋" w:cs="Arial"/>
          <w:bCs/>
          <w:sz w:val="24"/>
        </w:rPr>
        <w:t>为现金分红</w:t>
      </w:r>
      <w:r>
        <w:rPr>
          <w:rFonts w:ascii="彩虹粗仿宋" w:hAnsi="宋体" w:eastAsia="彩虹粗仿宋" w:cs="Arial"/>
          <w:bCs/>
          <w:sz w:val="24"/>
        </w:rPr>
        <w:t>；</w:t>
      </w:r>
    </w:p>
    <w:p>
      <w:pPr>
        <w:adjustRightInd w:val="0"/>
        <w:snapToGrid w:val="0"/>
        <w:ind w:firstLine="480" w:firstLineChars="200"/>
        <w:rPr>
          <w:rFonts w:ascii="彩虹粗仿宋" w:hAnsi="宋体" w:eastAsia="彩虹粗仿宋" w:cs="Arial"/>
          <w:bCs/>
          <w:sz w:val="24"/>
        </w:rPr>
      </w:pPr>
      <w:r>
        <w:rPr>
          <w:rFonts w:ascii="彩虹粗仿宋" w:hAnsi="宋体" w:eastAsia="彩虹粗仿宋" w:cs="Arial"/>
          <w:bCs/>
          <w:sz w:val="24"/>
        </w:rPr>
        <w:t>3、基金收益分配后</w:t>
      </w:r>
      <w:r>
        <w:rPr>
          <w:rFonts w:hint="eastAsia" w:ascii="彩虹粗仿宋" w:hAnsi="宋体" w:eastAsia="彩虹粗仿宋" w:cs="Arial"/>
          <w:bCs/>
          <w:sz w:val="24"/>
        </w:rPr>
        <w:t>任一类</w:t>
      </w:r>
      <w:r>
        <w:rPr>
          <w:rFonts w:ascii="彩虹粗仿宋" w:hAnsi="宋体" w:eastAsia="彩虹粗仿宋" w:cs="Arial"/>
          <w:bCs/>
          <w:sz w:val="24"/>
        </w:rPr>
        <w:t>基金份额净值不能低于面值</w:t>
      </w:r>
      <w:r>
        <w:rPr>
          <w:rFonts w:hint="eastAsia" w:ascii="彩虹粗仿宋" w:hAnsi="宋体" w:eastAsia="彩虹粗仿宋" w:cs="Arial"/>
          <w:bCs/>
          <w:sz w:val="24"/>
        </w:rPr>
        <w:t>，</w:t>
      </w:r>
      <w:r>
        <w:rPr>
          <w:rFonts w:ascii="彩虹粗仿宋" w:hAnsi="宋体" w:eastAsia="彩虹粗仿宋" w:cs="Arial"/>
          <w:bCs/>
          <w:sz w:val="24"/>
        </w:rPr>
        <w:t>即基金收益分配基准日的</w:t>
      </w:r>
      <w:r>
        <w:rPr>
          <w:rFonts w:hint="eastAsia" w:ascii="彩虹粗仿宋" w:hAnsi="宋体" w:eastAsia="彩虹粗仿宋" w:cs="Arial"/>
          <w:bCs/>
          <w:sz w:val="24"/>
        </w:rPr>
        <w:t>任一类</w:t>
      </w:r>
      <w:r>
        <w:rPr>
          <w:rFonts w:ascii="彩虹粗仿宋" w:hAnsi="宋体" w:eastAsia="彩虹粗仿宋" w:cs="Arial"/>
          <w:bCs/>
          <w:sz w:val="24"/>
        </w:rPr>
        <w:t>基金份额净值减去每单位</w:t>
      </w:r>
      <w:r>
        <w:rPr>
          <w:rFonts w:hint="eastAsia" w:ascii="彩虹粗仿宋" w:hAnsi="宋体" w:eastAsia="彩虹粗仿宋" w:cs="Arial"/>
          <w:bCs/>
          <w:sz w:val="24"/>
        </w:rPr>
        <w:t>该类</w:t>
      </w:r>
      <w:r>
        <w:rPr>
          <w:rFonts w:ascii="彩虹粗仿宋" w:hAnsi="宋体" w:eastAsia="彩虹粗仿宋" w:cs="Arial"/>
          <w:bCs/>
          <w:sz w:val="24"/>
        </w:rPr>
        <w:t>基金份额收益分配金额后不能低于面值</w:t>
      </w:r>
      <w:r>
        <w:rPr>
          <w:rFonts w:hint="eastAsia" w:ascii="彩虹粗仿宋" w:hAnsi="宋体" w:eastAsia="彩虹粗仿宋" w:cs="Arial"/>
          <w:bCs/>
          <w:sz w:val="24"/>
        </w:rPr>
        <w:t>；</w:t>
      </w:r>
    </w:p>
    <w:p>
      <w:pPr>
        <w:adjustRightInd w:val="0"/>
        <w:snapToGrid w:val="0"/>
        <w:ind w:firstLine="480" w:firstLineChars="200"/>
        <w:rPr>
          <w:rFonts w:ascii="彩虹粗仿宋" w:hAnsi="宋体" w:eastAsia="彩虹粗仿宋" w:cs="Arial"/>
          <w:bCs/>
          <w:sz w:val="24"/>
        </w:rPr>
      </w:pPr>
      <w:r>
        <w:rPr>
          <w:rFonts w:ascii="彩虹粗仿宋" w:hAnsi="宋体" w:eastAsia="彩虹粗仿宋" w:cs="Arial"/>
          <w:bCs/>
          <w:sz w:val="24"/>
        </w:rPr>
        <w:t>4、</w:t>
      </w:r>
      <w:r>
        <w:rPr>
          <w:rFonts w:hint="eastAsia" w:ascii="彩虹粗仿宋" w:hAnsi="宋体" w:eastAsia="彩虹粗仿宋" w:cs="Arial"/>
          <w:bCs/>
          <w:sz w:val="24"/>
        </w:rPr>
        <w:t>同一类别的</w:t>
      </w:r>
      <w:r>
        <w:rPr>
          <w:rFonts w:ascii="彩虹粗仿宋" w:hAnsi="宋体" w:eastAsia="彩虹粗仿宋" w:cs="Arial"/>
          <w:bCs/>
          <w:sz w:val="24"/>
        </w:rPr>
        <w:t>每一基金份额享有同等分配权；</w:t>
      </w:r>
    </w:p>
    <w:p>
      <w:pPr>
        <w:adjustRightInd w:val="0"/>
        <w:snapToGrid w:val="0"/>
        <w:ind w:firstLine="480" w:firstLineChars="200"/>
        <w:rPr>
          <w:rFonts w:ascii="彩虹粗仿宋" w:hAnsi="宋体" w:eastAsia="彩虹粗仿宋" w:cs="Arial"/>
          <w:bCs/>
          <w:sz w:val="24"/>
        </w:rPr>
      </w:pPr>
      <w:r>
        <w:rPr>
          <w:rFonts w:ascii="彩虹粗仿宋" w:hAnsi="宋体" w:eastAsia="彩虹粗仿宋" w:cs="Arial"/>
          <w:bCs/>
          <w:sz w:val="24"/>
        </w:rPr>
        <w:t>5、A类基金份额和C类基金份额之间由于A类基金份额不收取而C类基金份额收取销售服务费将导致在可供分配利润上有所不同；</w:t>
      </w:r>
    </w:p>
    <w:p>
      <w:pPr>
        <w:adjustRightInd w:val="0"/>
        <w:snapToGrid w:val="0"/>
        <w:ind w:firstLine="480" w:firstLineChars="200"/>
        <w:rPr>
          <w:rFonts w:ascii="彩虹粗仿宋" w:hAnsi="宋体" w:eastAsia="彩虹粗仿宋" w:cs="Arial"/>
          <w:bCs/>
          <w:sz w:val="24"/>
        </w:rPr>
      </w:pPr>
      <w:r>
        <w:rPr>
          <w:rFonts w:ascii="彩虹粗仿宋" w:hAnsi="宋体" w:eastAsia="彩虹粗仿宋" w:cs="Arial"/>
          <w:bCs/>
          <w:sz w:val="24"/>
        </w:rPr>
        <w:t>6、法律法规或监管机关另有规定的，从其规定。</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在不违反法律法规且对基金份额持有人利益无实质性不利影响的前提下，经过履行适当程序，基金管理人可调整基金收益分配原则和支付方式，不需召开基金份额持有人大会。</w:t>
      </w:r>
    </w:p>
    <w:p>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（二）基金收益分配的时间和程序</w:t>
      </w:r>
    </w:p>
    <w:p>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本基金收益分配方案由基金管理人拟定，并由基金托管人复核，由基金管理人在2日内在规定媒介公告。基金收益分配方案公告后(依据具体方案的规定)，基金管理人就支付的现金红利向基金托管人发送划款指令，基金托管人按照基金管理人的指令及时进行分红资金的划付。</w:t>
      </w:r>
    </w:p>
    <w:p>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基金收益分配时所发生的银行转账或其他手续费用由投资者自行承担。</w:t>
      </w:r>
    </w:p>
    <w:p>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（三）实施侧袋机制期间的收益分配</w:t>
      </w:r>
    </w:p>
    <w:p>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本基金实施侧袋机制的，侧袋账户不进行收益分配，详见招募说明书的规定。</w:t>
      </w:r>
    </w:p>
    <w:p>
      <w:pPr>
        <w:adjustRightInd w:val="0"/>
        <w:snapToGrid w:val="0"/>
        <w:rPr>
          <w:rFonts w:ascii="彩虹粗仿宋" w:hAnsi="宋体" w:eastAsia="彩虹粗仿宋" w:cs="Arial"/>
          <w:sz w:val="24"/>
        </w:rPr>
      </w:pPr>
    </w:p>
    <w:p>
      <w:pPr>
        <w:pStyle w:val="2"/>
        <w:jc w:val="center"/>
        <w:rPr>
          <w:rFonts w:ascii="彩虹粗仿宋" w:eastAsia="彩虹粗仿宋"/>
          <w:sz w:val="30"/>
        </w:rPr>
      </w:pPr>
      <w:bookmarkStart w:id="87" w:name="_Toc124325894"/>
      <w:r>
        <w:rPr>
          <w:rFonts w:hint="eastAsia" w:ascii="彩虹粗仿宋" w:eastAsia="彩虹粗仿宋"/>
          <w:sz w:val="30"/>
        </w:rPr>
        <w:t>十、基金信息披露</w:t>
      </w:r>
      <w:bookmarkEnd w:id="87"/>
    </w:p>
    <w:p>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（一）保密义务</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托管人和基金管理人应按法律法规、《基金合同》的有关规定进行信息披露，拟公开披露的信息在公开披露之前应予保密。除按《基金法》、《运作办法》、《基金合同》、《信息披露办法》、《流动性风险管理规定》及其他有关规定进行信息披露外，基金管理人和基金托管人对基金运作中产生的信息以及从对方获得的业务信息应予保密。但是，如下情况不应视为基金管理人或基金托管人违反保密义务：</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1.非因基金管理人和基金托管人的原因导致保密信息被披露、泄露或公开；</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2.基金管理人和基金托管人为遵守和服从法院判决或裁定、仲裁裁决或中国证监会等监管机构的命令、决定所做出的信息披露或公开。</w:t>
      </w:r>
    </w:p>
    <w:p>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（二）信息披露的内容</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的信息披露内容主要包括基金招募说明书、《基金合同》、基金托管协议、基金产品资料概要、基金份额发售公告、《基金合同》生效公告、基金净值信息、基金份额申购、赎回价格、基金定期报告（包括基金年度报告、基金中期报告和基金季度报告）、临时报告、澄清公告、基金份额持有人大会决议、清算报告、实施侧袋机制期间的信息披露、</w:t>
      </w:r>
      <w:r>
        <w:rPr>
          <w:rFonts w:hint="eastAsia" w:ascii="彩虹粗仿宋" w:hAnsi="宋体" w:eastAsia="彩虹粗仿宋" w:cs="Arial"/>
          <w:bCs/>
          <w:sz w:val="24"/>
        </w:rPr>
        <w:t>基金管理费收费机制调整的有关公告</w:t>
      </w:r>
      <w:r>
        <w:rPr>
          <w:rFonts w:hint="eastAsia" w:ascii="彩虹粗仿宋" w:hAnsi="宋体" w:eastAsia="彩虹粗仿宋" w:cs="Arial"/>
          <w:sz w:val="24"/>
        </w:rPr>
        <w:t>及中国证监会规定的其他信息。基金年度报告中的财务会计报告需经符合《中华人民共和国证券法》规定的会计师事务所审计后，方可披露。</w:t>
      </w:r>
    </w:p>
    <w:p>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（三）基金托管人和基金管理人在信息披露中的职责和信息披露程序</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1.职责</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对于不需要基金托管人复核的信息，基金管理人在公告前应告知基金托管人。</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基金管理人和基金托管人应积极配合、互相监督，保证其履行按照法定方式和限时披露的义务。</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基金管理人应当在中国证监会规定的时间内，将应予披露的基金信息通过规定媒介披露。根据法律法规应由基金托管人公开披露的信息，基金托管人将通过规定媒介公开披露。</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当出现下述情况时，基金管理人和基金托管人可暂停或延迟披露基金相关信息：</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（1）不可抗力；</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w:t>
      </w:r>
      <w:r>
        <w:rPr>
          <w:rFonts w:ascii="彩虹粗仿宋" w:hAnsi="宋体" w:eastAsia="彩虹粗仿宋" w:cs="Arial"/>
          <w:sz w:val="24"/>
        </w:rPr>
        <w:t>基金投资所涉及的证券、期货交易市场或外汇市场遇法定节假日或因其他 原因暂停营业时；</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（3）出现基金合同约定的暂停估值情形；</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（4）法律法规、《基金合同》或中国证监会规定的情况。</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2.程序</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按有关规定须经基金托管人复核的信息披露文件，由基金管理人起草、并经基金托管人复核后由基金管理人公告。发生《基金合同》中规定需要披露的事项时，按《基金合同》规定公布。</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3.信息文本的存放</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依法必须披露的信息发布后，基金管理人、基金托管人应当按照相关法律法规规定将信息置备于公司住所，以供社会公众查阅、复制。</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（四）实施侧袋机制期间的信息披露</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本基金实施侧袋机制的，相关信息披露义务人应当根据法律法规、基金合同和招募说明书的规定进行信息披露，详见招募说明书的规定。</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（五）法律法规或监管部门对适用于本基金的信息披露另有规定的，从其规定。如规定发生变化的，从其最新规定。</w:t>
      </w:r>
    </w:p>
    <w:p>
      <w:pPr>
        <w:adjustRightInd w:val="0"/>
        <w:snapToGrid w:val="0"/>
        <w:ind w:firstLine="480" w:firstLineChars="200"/>
        <w:rPr>
          <w:rFonts w:ascii="彩虹粗仿宋" w:hAnsi="宋体" w:eastAsia="彩虹粗仿宋" w:cs="Arial"/>
          <w:sz w:val="24"/>
        </w:rPr>
      </w:pPr>
    </w:p>
    <w:p>
      <w:pPr>
        <w:pStyle w:val="2"/>
        <w:jc w:val="center"/>
        <w:rPr>
          <w:rFonts w:ascii="彩虹粗仿宋" w:eastAsia="彩虹粗仿宋"/>
          <w:sz w:val="30"/>
        </w:rPr>
      </w:pPr>
      <w:bookmarkStart w:id="88" w:name="_Toc124325895"/>
      <w:r>
        <w:rPr>
          <w:rFonts w:hint="eastAsia" w:ascii="彩虹粗仿宋" w:eastAsia="彩虹粗仿宋"/>
          <w:sz w:val="30"/>
        </w:rPr>
        <w:t>十一、基金费用</w:t>
      </w:r>
      <w:bookmarkEnd w:id="88"/>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（一）基金管理费的计提比例和计提方法</w:t>
      </w:r>
    </w:p>
    <w:p>
      <w:pPr>
        <w:adjustRightInd w:val="0"/>
        <w:snapToGrid w:val="0"/>
        <w:ind w:firstLine="480" w:firstLineChars="200"/>
        <w:rPr>
          <w:rFonts w:ascii="彩虹粗仿宋" w:hAnsi="宋体" w:eastAsia="彩虹粗仿宋" w:cs="Arial"/>
          <w:bCs/>
          <w:sz w:val="24"/>
        </w:rPr>
      </w:pPr>
      <w:r>
        <w:rPr>
          <w:rFonts w:ascii="彩虹粗仿宋" w:hAnsi="宋体" w:eastAsia="彩虹粗仿宋" w:cs="Arial"/>
          <w:bCs/>
          <w:sz w:val="24"/>
        </w:rPr>
        <w:t>1</w:t>
      </w:r>
      <w:r>
        <w:rPr>
          <w:rFonts w:hint="eastAsia" w:ascii="彩虹粗仿宋" w:hAnsi="宋体" w:eastAsia="彩虹粗仿宋" w:cs="Arial"/>
          <w:bCs/>
          <w:sz w:val="24"/>
        </w:rPr>
        <w:t>、基金管理人的管理费</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本基金根据每一基金份额的持有期限与持有期间年化收益率，在赎回、转出基金份额或基金合同终止的情形发生时确定该笔基金份额对应的管理费。</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当投资者赎回、转出基金份额或基金合同终止的情形发生时，若该笔基金份额持有期限不足一年（即365天，下同），则按1.20%年费率（固定管理费率0</w:t>
      </w:r>
      <w:r>
        <w:rPr>
          <w:rFonts w:ascii="彩虹粗仿宋" w:hAnsi="宋体" w:eastAsia="彩虹粗仿宋" w:cs="Arial"/>
          <w:bCs/>
          <w:sz w:val="24"/>
        </w:rPr>
        <w:t>.6%</w:t>
      </w:r>
      <w:r>
        <w:rPr>
          <w:rFonts w:hint="eastAsia" w:ascii="彩虹粗仿宋" w:hAnsi="宋体" w:eastAsia="彩虹粗仿宋" w:cs="Arial"/>
          <w:bCs/>
          <w:sz w:val="24"/>
        </w:rPr>
        <w:t>、或有管理费率0</w:t>
      </w:r>
      <w:r>
        <w:rPr>
          <w:rFonts w:ascii="彩虹粗仿宋" w:hAnsi="宋体" w:eastAsia="彩虹粗仿宋" w:cs="Arial"/>
          <w:bCs/>
          <w:sz w:val="24"/>
        </w:rPr>
        <w:t>.6%</w:t>
      </w:r>
      <w:r>
        <w:rPr>
          <w:rFonts w:hint="eastAsia" w:ascii="彩虹粗仿宋" w:hAnsi="宋体" w:eastAsia="彩虹粗仿宋" w:cs="Arial"/>
          <w:bCs/>
          <w:sz w:val="24"/>
        </w:rPr>
        <w:t>）收取管理费；若该笔基金份额持有期限达到一年及以上，则根据持有期间年化收益率分为以下三种情况，分别确定对应的管理费率档位：</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若持有期间相对业绩比较基准的年化超额收益率（扣除超额管理费后）超过6%且持有收益率（扣除超额管理费后）为正，按1.50%年费率确认管理费；若持有期间的年化超额收益率在-3%及以下，按0.60%年费率确认管理费；其他情形按1.20%年费率确认管理费。</w:t>
      </w:r>
    </w:p>
    <w:tbl>
      <w:tblPr>
        <w:tblStyle w:val="24"/>
        <w:tblW w:w="6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7"/>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7" w:type="dxa"/>
            <w:shd w:val="clear" w:color="auto" w:fill="auto"/>
            <w:vAlign w:val="center"/>
          </w:tcPr>
          <w:p>
            <w:pPr>
              <w:adjustRightInd w:val="0"/>
              <w:snapToGrid w:val="0"/>
              <w:jc w:val="center"/>
              <w:rPr>
                <w:rFonts w:ascii="彩虹粗仿宋" w:hAnsi="宋体" w:eastAsia="彩虹粗仿宋" w:cs="Arial"/>
                <w:b/>
                <w:bCs/>
                <w:sz w:val="24"/>
              </w:rPr>
            </w:pPr>
            <w:r>
              <w:rPr>
                <w:rFonts w:ascii="彩虹粗仿宋" w:hAnsi="宋体" w:eastAsia="彩虹粗仿宋" w:cs="Arial"/>
                <w:b/>
                <w:bCs/>
                <w:sz w:val="24"/>
              </w:rPr>
              <w:t>持有期间年化收益率（R）</w:t>
            </w:r>
          </w:p>
        </w:tc>
        <w:tc>
          <w:tcPr>
            <w:tcW w:w="2831" w:type="dxa"/>
            <w:shd w:val="clear" w:color="auto" w:fill="auto"/>
            <w:vAlign w:val="center"/>
          </w:tcPr>
          <w:p>
            <w:pPr>
              <w:adjustRightInd w:val="0"/>
              <w:snapToGrid w:val="0"/>
              <w:jc w:val="center"/>
              <w:rPr>
                <w:rFonts w:ascii="彩虹粗仿宋" w:hAnsi="宋体" w:eastAsia="彩虹粗仿宋" w:cs="Arial"/>
                <w:b/>
                <w:bCs/>
                <w:sz w:val="24"/>
              </w:rPr>
            </w:pPr>
            <w:r>
              <w:rPr>
                <w:rFonts w:ascii="彩虹粗仿宋" w:hAnsi="宋体" w:eastAsia="彩虹粗仿宋" w:cs="Arial"/>
                <w:b/>
                <w:bCs/>
                <w:sz w:val="24"/>
              </w:rPr>
              <w:t>管理费率（年费率）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827" w:type="dxa"/>
            <w:shd w:val="clear" w:color="auto" w:fill="auto"/>
            <w:vAlign w:val="center"/>
          </w:tcPr>
          <w:p>
            <w:pPr>
              <w:adjustRightInd w:val="0"/>
              <w:snapToGrid w:val="0"/>
              <w:jc w:val="center"/>
              <w:rPr>
                <w:rFonts w:ascii="彩虹粗仿宋" w:hAnsi="宋体" w:eastAsia="彩虹粗仿宋" w:cs="Arial"/>
                <w:b/>
                <w:bCs/>
                <w:sz w:val="24"/>
              </w:rPr>
            </w:pPr>
            <w:r>
              <w:rPr>
                <w:rFonts w:ascii="彩虹粗仿宋" w:hAnsi="宋体" w:eastAsia="彩虹粗仿宋" w:cs="Arial"/>
                <w:bCs/>
                <w:sz w:val="24"/>
              </w:rPr>
              <w:t>R＞R</w:t>
            </w:r>
            <w:r>
              <w:rPr>
                <w:rFonts w:ascii="彩虹粗仿宋" w:hAnsi="宋体" w:eastAsia="彩虹粗仿宋" w:cs="Arial"/>
                <w:bCs/>
                <w:sz w:val="24"/>
                <w:vertAlign w:val="subscript"/>
              </w:rPr>
              <w:t>b</w:t>
            </w:r>
            <w:r>
              <w:rPr>
                <w:rFonts w:ascii="彩虹粗仿宋" w:hAnsi="宋体" w:eastAsia="彩虹粗仿宋" w:cs="Arial"/>
                <w:bCs/>
                <w:sz w:val="24"/>
              </w:rPr>
              <w:t>+6%，R＞0</w:t>
            </w:r>
          </w:p>
        </w:tc>
        <w:tc>
          <w:tcPr>
            <w:tcW w:w="2831" w:type="dxa"/>
            <w:shd w:val="clear" w:color="auto" w:fill="auto"/>
            <w:vAlign w:val="center"/>
          </w:tcPr>
          <w:p>
            <w:pPr>
              <w:adjustRightInd w:val="0"/>
              <w:snapToGrid w:val="0"/>
              <w:jc w:val="center"/>
              <w:rPr>
                <w:rFonts w:ascii="彩虹粗仿宋" w:hAnsi="宋体" w:eastAsia="彩虹粗仿宋" w:cs="Arial"/>
                <w:bCs/>
                <w:sz w:val="24"/>
              </w:rPr>
            </w:pPr>
            <w:r>
              <w:rPr>
                <w:rFonts w:ascii="彩虹粗仿宋" w:hAnsi="宋体" w:eastAsia="彩虹粗仿宋" w:cs="Arial"/>
                <w:bCs/>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7" w:type="dxa"/>
            <w:shd w:val="clear" w:color="auto" w:fill="auto"/>
            <w:vAlign w:val="center"/>
          </w:tcPr>
          <w:p>
            <w:pPr>
              <w:adjustRightInd w:val="0"/>
              <w:snapToGrid w:val="0"/>
              <w:jc w:val="center"/>
              <w:rPr>
                <w:rFonts w:ascii="彩虹粗仿宋" w:hAnsi="宋体" w:eastAsia="彩虹粗仿宋" w:cs="Arial"/>
                <w:bCs/>
                <w:sz w:val="24"/>
              </w:rPr>
            </w:pPr>
            <w:r>
              <w:rPr>
                <w:rFonts w:ascii="彩虹粗仿宋" w:hAnsi="宋体" w:eastAsia="彩虹粗仿宋" w:cs="Arial"/>
                <w:bCs/>
                <w:sz w:val="24"/>
              </w:rPr>
              <w:t>R≤R</w:t>
            </w:r>
            <w:r>
              <w:rPr>
                <w:rFonts w:ascii="彩虹粗仿宋" w:hAnsi="宋体" w:eastAsia="彩虹粗仿宋" w:cs="Arial"/>
                <w:bCs/>
                <w:sz w:val="24"/>
                <w:vertAlign w:val="subscript"/>
              </w:rPr>
              <w:t>b</w:t>
            </w:r>
            <w:r>
              <w:rPr>
                <w:rFonts w:ascii="彩虹粗仿宋" w:hAnsi="宋体" w:eastAsia="彩虹粗仿宋" w:cs="Arial"/>
                <w:bCs/>
                <w:sz w:val="24"/>
              </w:rPr>
              <w:t>-3%</w:t>
            </w:r>
          </w:p>
        </w:tc>
        <w:tc>
          <w:tcPr>
            <w:tcW w:w="2831" w:type="dxa"/>
            <w:shd w:val="clear" w:color="auto" w:fill="auto"/>
            <w:vAlign w:val="center"/>
          </w:tcPr>
          <w:p>
            <w:pPr>
              <w:adjustRightInd w:val="0"/>
              <w:snapToGrid w:val="0"/>
              <w:jc w:val="center"/>
              <w:rPr>
                <w:rFonts w:ascii="彩虹粗仿宋" w:hAnsi="宋体" w:eastAsia="彩虹粗仿宋" w:cs="Arial"/>
                <w:bCs/>
                <w:sz w:val="24"/>
              </w:rPr>
            </w:pPr>
            <w:r>
              <w:rPr>
                <w:rFonts w:ascii="彩虹粗仿宋" w:hAnsi="宋体" w:eastAsia="彩虹粗仿宋" w:cs="Arial"/>
                <w:bCs/>
                <w:sz w:val="24"/>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7" w:type="dxa"/>
            <w:shd w:val="clear" w:color="auto" w:fill="auto"/>
            <w:vAlign w:val="center"/>
          </w:tcPr>
          <w:p>
            <w:pPr>
              <w:adjustRightInd w:val="0"/>
              <w:snapToGrid w:val="0"/>
              <w:jc w:val="center"/>
              <w:rPr>
                <w:rFonts w:ascii="彩虹粗仿宋" w:hAnsi="宋体" w:eastAsia="彩虹粗仿宋" w:cs="Arial"/>
                <w:bCs/>
                <w:sz w:val="24"/>
              </w:rPr>
            </w:pPr>
            <w:r>
              <w:rPr>
                <w:rFonts w:ascii="彩虹粗仿宋" w:hAnsi="宋体" w:eastAsia="彩虹粗仿宋" w:cs="Arial"/>
                <w:bCs/>
                <w:sz w:val="24"/>
              </w:rPr>
              <w:t>其他情形</w:t>
            </w:r>
          </w:p>
        </w:tc>
        <w:tc>
          <w:tcPr>
            <w:tcW w:w="2831" w:type="dxa"/>
            <w:shd w:val="clear" w:color="auto" w:fill="auto"/>
            <w:vAlign w:val="center"/>
          </w:tcPr>
          <w:p>
            <w:pPr>
              <w:adjustRightInd w:val="0"/>
              <w:snapToGrid w:val="0"/>
              <w:jc w:val="center"/>
              <w:rPr>
                <w:rFonts w:ascii="彩虹粗仿宋" w:hAnsi="宋体" w:eastAsia="彩虹粗仿宋" w:cs="Arial"/>
                <w:bCs/>
                <w:sz w:val="24"/>
              </w:rPr>
            </w:pPr>
            <w:r>
              <w:rPr>
                <w:rFonts w:ascii="彩虹粗仿宋" w:hAnsi="宋体" w:eastAsia="彩虹粗仿宋" w:cs="Arial"/>
                <w:bCs/>
                <w:sz w:val="24"/>
              </w:rPr>
              <w:t>1.20%</w:t>
            </w:r>
          </w:p>
        </w:tc>
      </w:tr>
    </w:tbl>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注：①</w:t>
      </w:r>
      <w:r>
        <w:rPr>
          <w:rFonts w:ascii="彩虹粗仿宋" w:hAnsi="宋体" w:eastAsia="彩虹粗仿宋" w:cs="Arial"/>
          <w:bCs/>
          <w:sz w:val="24"/>
        </w:rPr>
        <w:t>R</w:t>
      </w:r>
      <w:r>
        <w:rPr>
          <w:rFonts w:hint="eastAsia" w:ascii="彩虹粗仿宋" w:hAnsi="宋体" w:eastAsia="彩虹粗仿宋" w:cs="Arial"/>
          <w:bCs/>
          <w:sz w:val="24"/>
        </w:rPr>
        <w:t>为该笔基金份额的年化收益率，</w:t>
      </w:r>
      <w:r>
        <w:rPr>
          <w:rFonts w:ascii="彩虹粗仿宋" w:hAnsi="宋体" w:eastAsia="彩虹粗仿宋" w:cs="Arial"/>
          <w:bCs/>
          <w:sz w:val="24"/>
        </w:rPr>
        <w:t>R</w:t>
      </w:r>
      <w:r>
        <w:rPr>
          <w:rFonts w:ascii="彩虹粗仿宋" w:hAnsi="宋体" w:eastAsia="彩虹粗仿宋" w:cs="Arial"/>
          <w:bCs/>
          <w:sz w:val="24"/>
          <w:vertAlign w:val="subscript"/>
        </w:rPr>
        <w:t>b</w:t>
      </w:r>
      <w:r>
        <w:rPr>
          <w:rFonts w:hint="eastAsia" w:ascii="彩虹粗仿宋" w:hAnsi="宋体" w:eastAsia="彩虹粗仿宋" w:cs="Arial"/>
          <w:bCs/>
          <w:sz w:val="24"/>
        </w:rPr>
        <w:t>为本基金业绩比较基准同期年化收益率。</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②特别的，当持有期限达到一年及以上，</w:t>
      </w:r>
      <w:r>
        <w:rPr>
          <w:rFonts w:ascii="彩虹粗仿宋" w:hAnsi="宋体" w:eastAsia="彩虹粗仿宋" w:cs="Arial"/>
          <w:bCs/>
          <w:sz w:val="24"/>
        </w:rPr>
        <w:t>R＞R</w:t>
      </w:r>
      <w:r>
        <w:rPr>
          <w:rFonts w:ascii="彩虹粗仿宋" w:hAnsi="宋体" w:eastAsia="彩虹粗仿宋" w:cs="Arial"/>
          <w:bCs/>
          <w:sz w:val="24"/>
          <w:vertAlign w:val="subscript"/>
        </w:rPr>
        <w:t>b</w:t>
      </w:r>
      <w:r>
        <w:rPr>
          <w:rFonts w:ascii="彩虹粗仿宋" w:hAnsi="宋体" w:eastAsia="彩虹粗仿宋" w:cs="Arial"/>
          <w:bCs/>
          <w:sz w:val="24"/>
        </w:rPr>
        <w:t>+6%</w:t>
      </w:r>
      <w:r>
        <w:rPr>
          <w:rFonts w:hint="eastAsia" w:ascii="彩虹粗仿宋" w:hAnsi="宋体" w:eastAsia="彩虹粗仿宋" w:cs="Arial"/>
          <w:bCs/>
          <w:sz w:val="24"/>
        </w:rPr>
        <w:t>且</w:t>
      </w:r>
      <w:r>
        <w:rPr>
          <w:rFonts w:ascii="彩虹粗仿宋" w:hAnsi="宋体" w:eastAsia="彩虹粗仿宋" w:cs="Arial"/>
          <w:bCs/>
          <w:sz w:val="24"/>
        </w:rPr>
        <w:t>R＞0</w:t>
      </w:r>
      <w:r>
        <w:rPr>
          <w:rFonts w:hint="eastAsia" w:ascii="彩虹粗仿宋" w:hAnsi="宋体" w:eastAsia="彩虹粗仿宋" w:cs="Arial"/>
          <w:bCs/>
          <w:sz w:val="24"/>
        </w:rPr>
        <w:t>的情形下，若拟扣除超额管理费后的年化收益率小于等于</w:t>
      </w:r>
      <w:r>
        <w:rPr>
          <w:rFonts w:ascii="彩虹粗仿宋" w:hAnsi="宋体" w:eastAsia="彩虹粗仿宋" w:cs="Arial"/>
          <w:bCs/>
          <w:sz w:val="24"/>
        </w:rPr>
        <w:t>R</w:t>
      </w:r>
      <w:r>
        <w:rPr>
          <w:rFonts w:ascii="彩虹粗仿宋" w:hAnsi="宋体" w:eastAsia="彩虹粗仿宋" w:cs="Arial"/>
          <w:bCs/>
          <w:sz w:val="24"/>
          <w:vertAlign w:val="subscript"/>
        </w:rPr>
        <w:t>b</w:t>
      </w:r>
      <w:r>
        <w:rPr>
          <w:rFonts w:ascii="彩虹粗仿宋" w:hAnsi="宋体" w:eastAsia="彩虹粗仿宋" w:cs="Arial"/>
          <w:bCs/>
          <w:sz w:val="24"/>
        </w:rPr>
        <w:t>+6%</w:t>
      </w:r>
      <w:r>
        <w:rPr>
          <w:rFonts w:hint="eastAsia" w:ascii="彩虹粗仿宋" w:hAnsi="宋体" w:eastAsia="彩虹粗仿宋" w:cs="Arial"/>
          <w:bCs/>
          <w:sz w:val="24"/>
        </w:rPr>
        <w:t>，或小于等于0时，仍按1.20%年费率收取该笔基金份额的管理费，以使得该笔基金份额在扣除超额管理费后的年化收益率仍需满足本基金收取超额管理费的标准。</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具体而言，本基金的管理费包含固定管理费、或有管理费和超额管理费，按以下方式计算和确认。</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（1）固定管理费</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固定管理费按前一日基金资产净值的0.60%年费率每日计提。固定管理费的计算方法如下：</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H</w:t>
      </w:r>
      <w:r>
        <w:rPr>
          <w:rFonts w:hint="eastAsia" w:ascii="彩虹粗仿宋" w:hAnsi="宋体" w:eastAsia="彩虹粗仿宋" w:cs="Arial"/>
          <w:bCs/>
          <w:sz w:val="24"/>
          <w:vertAlign w:val="subscript"/>
        </w:rPr>
        <w:t>1</w:t>
      </w:r>
      <w:r>
        <w:rPr>
          <w:rFonts w:hint="eastAsia" w:ascii="彩虹粗仿宋" w:hAnsi="宋体" w:eastAsia="彩虹粗仿宋" w:cs="Arial"/>
          <w:bCs/>
          <w:sz w:val="24"/>
        </w:rPr>
        <w:t>＝E×</w:t>
      </w:r>
      <w:r>
        <w:rPr>
          <w:rFonts w:ascii="彩虹粗仿宋" w:hAnsi="宋体" w:eastAsia="彩虹粗仿宋" w:cs="Arial"/>
          <w:bCs/>
          <w:sz w:val="24"/>
        </w:rPr>
        <w:t>0.6</w:t>
      </w:r>
      <w:r>
        <w:rPr>
          <w:rFonts w:hint="eastAsia" w:ascii="彩虹粗仿宋" w:hAnsi="宋体" w:eastAsia="彩虹粗仿宋" w:cs="Arial"/>
          <w:bCs/>
          <w:sz w:val="24"/>
        </w:rPr>
        <w:t>0</w:t>
      </w:r>
      <w:r>
        <w:rPr>
          <w:rFonts w:ascii="彩虹粗仿宋" w:hAnsi="宋体" w:eastAsia="彩虹粗仿宋" w:cs="Arial"/>
          <w:bCs/>
          <w:sz w:val="24"/>
        </w:rPr>
        <w:t>%</w:t>
      </w:r>
      <w:r>
        <w:rPr>
          <w:rFonts w:hint="eastAsia" w:ascii="彩虹粗仿宋" w:hAnsi="宋体" w:eastAsia="彩虹粗仿宋" w:cs="Arial"/>
          <w:bCs/>
          <w:sz w:val="24"/>
        </w:rPr>
        <w:t>÷当年天数</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H</w:t>
      </w:r>
      <w:r>
        <w:rPr>
          <w:rFonts w:hint="eastAsia" w:ascii="彩虹粗仿宋" w:hAnsi="宋体" w:eastAsia="彩虹粗仿宋" w:cs="Arial"/>
          <w:bCs/>
          <w:sz w:val="24"/>
          <w:vertAlign w:val="subscript"/>
        </w:rPr>
        <w:t>1</w:t>
      </w:r>
      <w:r>
        <w:rPr>
          <w:rFonts w:hint="eastAsia" w:ascii="彩虹粗仿宋" w:hAnsi="宋体" w:eastAsia="彩虹粗仿宋" w:cs="Arial"/>
          <w:bCs/>
          <w:sz w:val="24"/>
        </w:rPr>
        <w:t>为每日应计提的固定管理费</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E为前一日的基金资产净值</w:t>
      </w:r>
    </w:p>
    <w:p>
      <w:pPr>
        <w:adjustRightInd w:val="0"/>
        <w:snapToGrid w:val="0"/>
        <w:ind w:firstLine="480" w:firstLineChars="200"/>
        <w:rPr>
          <w:rFonts w:ascii="彩虹粗仿宋" w:hAnsi="宋体" w:eastAsia="彩虹粗仿宋" w:cs="Arial"/>
          <w:bCs/>
          <w:sz w:val="24"/>
        </w:rPr>
      </w:pPr>
      <w:r>
        <w:rPr>
          <w:rFonts w:ascii="彩虹粗仿宋" w:hAnsi="宋体" w:eastAsia="彩虹粗仿宋" w:cs="Arial"/>
          <w:bCs/>
          <w:sz w:val="24"/>
        </w:rPr>
        <w:t>基金</w:t>
      </w:r>
      <w:r>
        <w:rPr>
          <w:rFonts w:hint="eastAsia" w:ascii="彩虹粗仿宋" w:hAnsi="宋体" w:eastAsia="彩虹粗仿宋" w:cs="Arial"/>
          <w:bCs/>
          <w:sz w:val="24"/>
        </w:rPr>
        <w:t>固定</w:t>
      </w:r>
      <w:r>
        <w:rPr>
          <w:rFonts w:ascii="彩虹粗仿宋" w:hAnsi="宋体" w:eastAsia="彩虹粗仿宋" w:cs="Arial"/>
          <w:bCs/>
          <w:sz w:val="24"/>
        </w:rPr>
        <w:t>管理费</w:t>
      </w:r>
      <w:r>
        <w:rPr>
          <w:rFonts w:hint="eastAsia" w:ascii="彩虹粗仿宋" w:hAnsi="宋体" w:eastAsia="彩虹粗仿宋" w:cs="Arial"/>
          <w:bCs/>
          <w:sz w:val="24"/>
        </w:rPr>
        <w:t>每日计提，逐日累计至每个月月末，按月支付。由基金托管人根据与基金管理人核对一致的财务数据，自动在次月初五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（2）或有管理费和超额管理费</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或有管理费按前一日基金资产净值的0.60%年费率每日计提。或有管理费的计算方法如下：</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H</w:t>
      </w:r>
      <w:r>
        <w:rPr>
          <w:rFonts w:hint="eastAsia" w:ascii="彩虹粗仿宋" w:hAnsi="宋体" w:eastAsia="彩虹粗仿宋" w:cs="Arial"/>
          <w:bCs/>
          <w:sz w:val="24"/>
          <w:vertAlign w:val="subscript"/>
        </w:rPr>
        <w:t>2</w:t>
      </w:r>
      <w:r>
        <w:rPr>
          <w:rFonts w:hint="eastAsia" w:ascii="彩虹粗仿宋" w:hAnsi="宋体" w:eastAsia="彩虹粗仿宋" w:cs="Arial"/>
          <w:bCs/>
          <w:sz w:val="24"/>
        </w:rPr>
        <w:t>＝E×</w:t>
      </w:r>
      <w:r>
        <w:rPr>
          <w:rFonts w:ascii="彩虹粗仿宋" w:hAnsi="宋体" w:eastAsia="彩虹粗仿宋" w:cs="Arial"/>
          <w:bCs/>
          <w:sz w:val="24"/>
        </w:rPr>
        <w:t>0.6</w:t>
      </w:r>
      <w:r>
        <w:rPr>
          <w:rFonts w:hint="eastAsia" w:ascii="彩虹粗仿宋" w:hAnsi="宋体" w:eastAsia="彩虹粗仿宋" w:cs="Arial"/>
          <w:bCs/>
          <w:sz w:val="24"/>
        </w:rPr>
        <w:t>0</w:t>
      </w:r>
      <w:r>
        <w:rPr>
          <w:rFonts w:ascii="彩虹粗仿宋" w:hAnsi="宋体" w:eastAsia="彩虹粗仿宋" w:cs="Arial"/>
          <w:bCs/>
          <w:sz w:val="24"/>
        </w:rPr>
        <w:t>%</w:t>
      </w:r>
      <w:r>
        <w:rPr>
          <w:rFonts w:hint="eastAsia" w:ascii="彩虹粗仿宋" w:hAnsi="宋体" w:eastAsia="彩虹粗仿宋" w:cs="Arial"/>
          <w:bCs/>
          <w:sz w:val="24"/>
        </w:rPr>
        <w:t>÷当年天数</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H</w:t>
      </w:r>
      <w:r>
        <w:rPr>
          <w:rFonts w:hint="eastAsia" w:ascii="彩虹粗仿宋" w:hAnsi="宋体" w:eastAsia="彩虹粗仿宋" w:cs="Arial"/>
          <w:bCs/>
          <w:sz w:val="24"/>
          <w:vertAlign w:val="subscript"/>
        </w:rPr>
        <w:t>2</w:t>
      </w:r>
      <w:r>
        <w:rPr>
          <w:rFonts w:hint="eastAsia" w:ascii="彩虹粗仿宋" w:hAnsi="宋体" w:eastAsia="彩虹粗仿宋" w:cs="Arial"/>
          <w:bCs/>
          <w:sz w:val="24"/>
        </w:rPr>
        <w:t>为每日应计提的或有管理费</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E为前一日的基金资产净值</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投资者赎回、转出基金份额或基金合同终止的情形发生时，若该笔基金份额持有期限不足一年，则该笔基金份额持有期内计提的或有管理费应确认为应由管理人收取的管理费；若该笔基金份额持有期限达到一年及以上，且该笔基金份额的持有期间年化收益率R符合下表“情形一”的收取情形，则管理人实际应收取的或有管理费为0，该笔基金份额持有期内计提的或有管理费将全额返还给投资者。其中：对于赎回业务，返还的或有管理费将作为赎回款项一并划转至投资者账户；对于转出业务，返还的或有管理费将作为转出份额对应的款项一并划转至转入的基金；对于基金合同终止情形，返还的或有管理费将于基金清算款一并划转至投资者账户；若该笔基金份额的持有期间年化收益率R符合下表“情形二”和“情形三”，则该笔基金份额持有期内计提的或有管理费应确认为应由管理人收取的管理费。</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基金超额管理费的计算方法如下：</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投资者赎回、转出基金份额或基金合同终止的情形发生时，当且仅当该笔基金份额持有期限达到一年及以上，且该笔基金份额的持有期间年化收益率R符合下表“情形三”的收取情形，则将对该笔基金份额按照0</w:t>
      </w:r>
      <w:r>
        <w:rPr>
          <w:rFonts w:ascii="彩虹粗仿宋" w:hAnsi="宋体" w:eastAsia="彩虹粗仿宋" w:cs="Arial"/>
          <w:bCs/>
          <w:sz w:val="24"/>
        </w:rPr>
        <w:t>.30%</w:t>
      </w:r>
      <w:r>
        <w:rPr>
          <w:rFonts w:hint="eastAsia" w:ascii="彩虹粗仿宋" w:hAnsi="宋体" w:eastAsia="彩虹粗仿宋" w:cs="Arial"/>
          <w:bCs/>
          <w:sz w:val="24"/>
        </w:rPr>
        <w:t>的年费率计算超额管理费，并确认为应由管理人收取的管理费。其中：对于赎回业务，超额管理费将从赎回款项中扣除；对于转出业务，超额管理费将从转出份额对应的款项中扣除；对于基金合同终止情形，超额管理费将从基金清算款中扣除。</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当投资者赎回、转出基金份额或基金合同终止的情形发生时，本基金根据以下三种情形确认应实际收取的或有管理费和超额管理费：</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3373"/>
        <w:gridCol w:w="1957"/>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2" w:type="pct"/>
            <w:shd w:val="clear" w:color="auto" w:fill="auto"/>
            <w:vAlign w:val="center"/>
          </w:tcPr>
          <w:p>
            <w:pPr>
              <w:adjustRightInd w:val="0"/>
              <w:snapToGrid w:val="0"/>
              <w:jc w:val="center"/>
              <w:rPr>
                <w:rFonts w:ascii="彩虹粗仿宋" w:hAnsi="宋体" w:eastAsia="彩虹粗仿宋" w:cs="Arial"/>
                <w:b/>
                <w:bCs/>
                <w:sz w:val="24"/>
              </w:rPr>
            </w:pPr>
            <w:r>
              <w:rPr>
                <w:rFonts w:ascii="彩虹粗仿宋" w:hAnsi="宋体" w:eastAsia="彩虹粗仿宋" w:cs="Arial"/>
                <w:b/>
                <w:bCs/>
                <w:sz w:val="24"/>
              </w:rPr>
              <w:t>收取情形</w:t>
            </w:r>
          </w:p>
        </w:tc>
        <w:tc>
          <w:tcPr>
            <w:tcW w:w="1934" w:type="pct"/>
            <w:shd w:val="clear" w:color="auto" w:fill="auto"/>
            <w:vAlign w:val="center"/>
          </w:tcPr>
          <w:p>
            <w:pPr>
              <w:adjustRightInd w:val="0"/>
              <w:snapToGrid w:val="0"/>
              <w:jc w:val="center"/>
              <w:rPr>
                <w:rFonts w:ascii="彩虹粗仿宋" w:hAnsi="宋体" w:eastAsia="彩虹粗仿宋" w:cs="Arial"/>
                <w:b/>
                <w:bCs/>
                <w:sz w:val="24"/>
              </w:rPr>
            </w:pPr>
            <w:r>
              <w:rPr>
                <w:rFonts w:ascii="彩虹粗仿宋" w:hAnsi="宋体" w:eastAsia="彩虹粗仿宋" w:cs="Arial"/>
                <w:b/>
                <w:bCs/>
                <w:sz w:val="24"/>
              </w:rPr>
              <w:t>年化收益率（R）</w:t>
            </w:r>
          </w:p>
        </w:tc>
        <w:tc>
          <w:tcPr>
            <w:tcW w:w="1122" w:type="pct"/>
            <w:shd w:val="clear" w:color="auto" w:fill="auto"/>
            <w:vAlign w:val="center"/>
          </w:tcPr>
          <w:p>
            <w:pPr>
              <w:adjustRightInd w:val="0"/>
              <w:snapToGrid w:val="0"/>
              <w:jc w:val="center"/>
              <w:rPr>
                <w:rFonts w:ascii="彩虹粗仿宋" w:hAnsi="宋体" w:eastAsia="彩虹粗仿宋" w:cs="Arial"/>
                <w:b/>
                <w:bCs/>
                <w:sz w:val="24"/>
              </w:rPr>
            </w:pPr>
            <w:r>
              <w:rPr>
                <w:rFonts w:ascii="彩虹粗仿宋" w:hAnsi="宋体" w:eastAsia="彩虹粗仿宋" w:cs="Arial"/>
                <w:b/>
                <w:bCs/>
                <w:sz w:val="24"/>
              </w:rPr>
              <w:t>或有管理费</w:t>
            </w:r>
          </w:p>
          <w:p>
            <w:pPr>
              <w:adjustRightInd w:val="0"/>
              <w:snapToGrid w:val="0"/>
              <w:jc w:val="center"/>
              <w:rPr>
                <w:rFonts w:ascii="彩虹粗仿宋" w:hAnsi="宋体" w:eastAsia="彩虹粗仿宋" w:cs="Arial"/>
                <w:b/>
                <w:bCs/>
                <w:sz w:val="24"/>
              </w:rPr>
            </w:pPr>
            <w:r>
              <w:rPr>
                <w:rFonts w:ascii="彩虹粗仿宋" w:hAnsi="宋体" w:eastAsia="彩虹粗仿宋" w:cs="Arial"/>
                <w:b/>
                <w:bCs/>
                <w:sz w:val="24"/>
              </w:rPr>
              <w:t>（年费率）</w:t>
            </w:r>
          </w:p>
        </w:tc>
        <w:tc>
          <w:tcPr>
            <w:tcW w:w="1122" w:type="pct"/>
            <w:shd w:val="clear" w:color="auto" w:fill="auto"/>
            <w:vAlign w:val="center"/>
          </w:tcPr>
          <w:p>
            <w:pPr>
              <w:adjustRightInd w:val="0"/>
              <w:snapToGrid w:val="0"/>
              <w:jc w:val="center"/>
              <w:rPr>
                <w:rFonts w:ascii="彩虹粗仿宋" w:hAnsi="宋体" w:eastAsia="彩虹粗仿宋" w:cs="Arial"/>
                <w:b/>
                <w:bCs/>
                <w:sz w:val="24"/>
              </w:rPr>
            </w:pPr>
            <w:r>
              <w:rPr>
                <w:rFonts w:ascii="彩虹粗仿宋" w:hAnsi="宋体" w:eastAsia="彩虹粗仿宋" w:cs="Arial"/>
                <w:b/>
                <w:bCs/>
                <w:sz w:val="24"/>
              </w:rPr>
              <w:t>超额管理费</w:t>
            </w:r>
          </w:p>
          <w:p>
            <w:pPr>
              <w:adjustRightInd w:val="0"/>
              <w:snapToGrid w:val="0"/>
              <w:jc w:val="center"/>
              <w:rPr>
                <w:rFonts w:ascii="彩虹粗仿宋" w:hAnsi="宋体" w:eastAsia="彩虹粗仿宋" w:cs="Arial"/>
                <w:b/>
                <w:bCs/>
                <w:sz w:val="24"/>
              </w:rPr>
            </w:pPr>
            <w:r>
              <w:rPr>
                <w:rFonts w:hint="eastAsia" w:ascii="彩虹粗仿宋" w:hAnsi="宋体" w:eastAsia="彩虹粗仿宋" w:cs="Arial"/>
                <w:b/>
                <w:bCs/>
                <w:sz w:val="24"/>
              </w:rPr>
              <w:t>（</w:t>
            </w:r>
            <w:r>
              <w:rPr>
                <w:rFonts w:ascii="彩虹粗仿宋" w:hAnsi="宋体" w:eastAsia="彩虹粗仿宋" w:cs="Arial"/>
                <w:b/>
                <w:bCs/>
                <w:sz w:val="24"/>
              </w:rPr>
              <w:t>年费率）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2" w:type="pct"/>
            <w:shd w:val="clear" w:color="auto" w:fill="auto"/>
            <w:vAlign w:val="center"/>
          </w:tcPr>
          <w:p>
            <w:pPr>
              <w:adjustRightInd w:val="0"/>
              <w:snapToGrid w:val="0"/>
              <w:jc w:val="center"/>
              <w:rPr>
                <w:rFonts w:ascii="彩虹粗仿宋" w:hAnsi="宋体" w:eastAsia="彩虹粗仿宋" w:cs="Arial"/>
                <w:bCs/>
                <w:sz w:val="24"/>
              </w:rPr>
            </w:pPr>
            <w:r>
              <w:rPr>
                <w:rFonts w:ascii="彩虹粗仿宋" w:hAnsi="宋体" w:eastAsia="彩虹粗仿宋" w:cs="Arial"/>
                <w:bCs/>
                <w:sz w:val="24"/>
              </w:rPr>
              <w:t>情形一</w:t>
            </w:r>
          </w:p>
        </w:tc>
        <w:tc>
          <w:tcPr>
            <w:tcW w:w="1934" w:type="pct"/>
            <w:shd w:val="clear" w:color="auto" w:fill="auto"/>
            <w:vAlign w:val="center"/>
          </w:tcPr>
          <w:p>
            <w:pPr>
              <w:adjustRightInd w:val="0"/>
              <w:snapToGrid w:val="0"/>
              <w:jc w:val="center"/>
              <w:rPr>
                <w:rFonts w:ascii="彩虹粗仿宋" w:hAnsi="宋体" w:eastAsia="彩虹粗仿宋" w:cs="Arial"/>
                <w:bCs/>
                <w:i/>
                <w:sz w:val="24"/>
              </w:rPr>
            </w:pPr>
            <w:r>
              <w:rPr>
                <w:rFonts w:ascii="彩虹粗仿宋" w:hAnsi="宋体" w:eastAsia="彩虹粗仿宋" w:cs="Arial"/>
                <w:bCs/>
                <w:sz w:val="24"/>
              </w:rPr>
              <w:t>R≤R</w:t>
            </w:r>
            <w:r>
              <w:rPr>
                <w:rFonts w:ascii="彩虹粗仿宋" w:hAnsi="宋体" w:eastAsia="彩虹粗仿宋" w:cs="Arial"/>
                <w:bCs/>
                <w:sz w:val="24"/>
                <w:vertAlign w:val="subscript"/>
              </w:rPr>
              <w:t>b</w:t>
            </w:r>
            <w:r>
              <w:rPr>
                <w:rFonts w:ascii="彩虹粗仿宋" w:hAnsi="宋体" w:eastAsia="彩虹粗仿宋" w:cs="Arial"/>
                <w:bCs/>
                <w:sz w:val="24"/>
              </w:rPr>
              <w:t>-3%</w:t>
            </w:r>
          </w:p>
        </w:tc>
        <w:tc>
          <w:tcPr>
            <w:tcW w:w="1122" w:type="pct"/>
            <w:shd w:val="clear" w:color="auto" w:fill="auto"/>
            <w:vAlign w:val="center"/>
          </w:tcPr>
          <w:p>
            <w:pPr>
              <w:adjustRightInd w:val="0"/>
              <w:snapToGrid w:val="0"/>
              <w:jc w:val="center"/>
              <w:rPr>
                <w:rFonts w:ascii="彩虹粗仿宋" w:hAnsi="宋体" w:eastAsia="彩虹粗仿宋" w:cs="Arial"/>
                <w:bCs/>
                <w:sz w:val="24"/>
              </w:rPr>
            </w:pPr>
            <w:r>
              <w:rPr>
                <w:rFonts w:ascii="彩虹粗仿宋" w:hAnsi="宋体" w:eastAsia="彩虹粗仿宋" w:cs="Arial"/>
                <w:bCs/>
                <w:sz w:val="24"/>
              </w:rPr>
              <w:t>0</w:t>
            </w:r>
          </w:p>
        </w:tc>
        <w:tc>
          <w:tcPr>
            <w:tcW w:w="1122" w:type="pct"/>
            <w:shd w:val="clear" w:color="auto" w:fill="auto"/>
            <w:vAlign w:val="center"/>
          </w:tcPr>
          <w:p>
            <w:pPr>
              <w:adjustRightInd w:val="0"/>
              <w:snapToGrid w:val="0"/>
              <w:jc w:val="center"/>
              <w:rPr>
                <w:rFonts w:ascii="彩虹粗仿宋" w:hAnsi="宋体" w:eastAsia="彩虹粗仿宋" w:cs="Arial"/>
                <w:bCs/>
                <w:sz w:val="24"/>
              </w:rPr>
            </w:pPr>
            <w:r>
              <w:rPr>
                <w:rFonts w:ascii="彩虹粗仿宋" w:hAnsi="宋体" w:eastAsia="彩虹粗仿宋" w:cs="Arial"/>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2" w:type="pct"/>
            <w:shd w:val="clear" w:color="auto" w:fill="auto"/>
            <w:vAlign w:val="center"/>
          </w:tcPr>
          <w:p>
            <w:pPr>
              <w:adjustRightInd w:val="0"/>
              <w:snapToGrid w:val="0"/>
              <w:jc w:val="center"/>
              <w:rPr>
                <w:rFonts w:ascii="彩虹粗仿宋" w:hAnsi="宋体" w:eastAsia="彩虹粗仿宋" w:cs="Arial"/>
                <w:bCs/>
                <w:sz w:val="24"/>
              </w:rPr>
            </w:pPr>
            <w:r>
              <w:rPr>
                <w:rFonts w:ascii="彩虹粗仿宋" w:hAnsi="宋体" w:eastAsia="彩虹粗仿宋" w:cs="Arial"/>
                <w:bCs/>
                <w:sz w:val="24"/>
              </w:rPr>
              <w:t>情形二</w:t>
            </w:r>
          </w:p>
        </w:tc>
        <w:tc>
          <w:tcPr>
            <w:tcW w:w="1934" w:type="pct"/>
            <w:shd w:val="clear" w:color="auto" w:fill="auto"/>
            <w:vAlign w:val="center"/>
          </w:tcPr>
          <w:p>
            <w:pPr>
              <w:adjustRightInd w:val="0"/>
              <w:snapToGrid w:val="0"/>
              <w:jc w:val="center"/>
              <w:rPr>
                <w:rFonts w:ascii="彩虹粗仿宋" w:hAnsi="宋体" w:eastAsia="彩虹粗仿宋" w:cs="Arial"/>
                <w:bCs/>
                <w:sz w:val="24"/>
              </w:rPr>
            </w:pPr>
            <w:r>
              <w:rPr>
                <w:rFonts w:ascii="彩虹粗仿宋" w:hAnsi="宋体" w:eastAsia="彩虹粗仿宋" w:cs="Arial"/>
                <w:bCs/>
                <w:sz w:val="24"/>
              </w:rPr>
              <w:t>其他情形</w:t>
            </w:r>
          </w:p>
        </w:tc>
        <w:tc>
          <w:tcPr>
            <w:tcW w:w="1122" w:type="pct"/>
            <w:shd w:val="clear" w:color="auto" w:fill="auto"/>
            <w:vAlign w:val="center"/>
          </w:tcPr>
          <w:p>
            <w:pPr>
              <w:adjustRightInd w:val="0"/>
              <w:snapToGrid w:val="0"/>
              <w:jc w:val="center"/>
              <w:rPr>
                <w:rFonts w:ascii="彩虹粗仿宋" w:hAnsi="宋体" w:eastAsia="彩虹粗仿宋" w:cs="Arial"/>
                <w:bCs/>
                <w:sz w:val="24"/>
              </w:rPr>
            </w:pPr>
            <w:r>
              <w:rPr>
                <w:rFonts w:ascii="彩虹粗仿宋" w:hAnsi="宋体" w:eastAsia="彩虹粗仿宋" w:cs="Arial"/>
                <w:bCs/>
                <w:sz w:val="24"/>
              </w:rPr>
              <w:t>0.60%</w:t>
            </w:r>
          </w:p>
        </w:tc>
        <w:tc>
          <w:tcPr>
            <w:tcW w:w="1122" w:type="pct"/>
            <w:shd w:val="clear" w:color="auto" w:fill="auto"/>
            <w:vAlign w:val="center"/>
          </w:tcPr>
          <w:p>
            <w:pPr>
              <w:adjustRightInd w:val="0"/>
              <w:snapToGrid w:val="0"/>
              <w:jc w:val="center"/>
              <w:rPr>
                <w:rFonts w:ascii="彩虹粗仿宋" w:hAnsi="宋体" w:eastAsia="彩虹粗仿宋" w:cs="Arial"/>
                <w:bCs/>
                <w:sz w:val="24"/>
              </w:rPr>
            </w:pPr>
            <w:r>
              <w:rPr>
                <w:rFonts w:ascii="彩虹粗仿宋" w:hAnsi="宋体" w:eastAsia="彩虹粗仿宋" w:cs="Arial"/>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2" w:type="pct"/>
            <w:shd w:val="clear" w:color="auto" w:fill="auto"/>
            <w:vAlign w:val="center"/>
          </w:tcPr>
          <w:p>
            <w:pPr>
              <w:adjustRightInd w:val="0"/>
              <w:snapToGrid w:val="0"/>
              <w:jc w:val="center"/>
              <w:rPr>
                <w:rFonts w:ascii="彩虹粗仿宋" w:hAnsi="宋体" w:eastAsia="彩虹粗仿宋" w:cs="Arial"/>
                <w:bCs/>
                <w:sz w:val="24"/>
              </w:rPr>
            </w:pPr>
            <w:r>
              <w:rPr>
                <w:rFonts w:ascii="彩虹粗仿宋" w:hAnsi="宋体" w:eastAsia="彩虹粗仿宋" w:cs="Arial"/>
                <w:bCs/>
                <w:sz w:val="24"/>
              </w:rPr>
              <w:t>情形三</w:t>
            </w:r>
          </w:p>
        </w:tc>
        <w:tc>
          <w:tcPr>
            <w:tcW w:w="1934" w:type="pct"/>
            <w:shd w:val="clear" w:color="auto" w:fill="auto"/>
            <w:vAlign w:val="center"/>
          </w:tcPr>
          <w:p>
            <w:pPr>
              <w:adjustRightInd w:val="0"/>
              <w:snapToGrid w:val="0"/>
              <w:jc w:val="center"/>
              <w:rPr>
                <w:rFonts w:ascii="彩虹粗仿宋" w:hAnsi="宋体" w:eastAsia="彩虹粗仿宋" w:cs="Arial"/>
                <w:b/>
                <w:bCs/>
                <w:sz w:val="24"/>
              </w:rPr>
            </w:pPr>
            <w:r>
              <w:rPr>
                <w:rFonts w:ascii="彩虹粗仿宋" w:hAnsi="宋体" w:eastAsia="彩虹粗仿宋" w:cs="Arial"/>
                <w:bCs/>
                <w:sz w:val="24"/>
              </w:rPr>
              <w:t>R＞R</w:t>
            </w:r>
            <w:r>
              <w:rPr>
                <w:rFonts w:ascii="彩虹粗仿宋" w:hAnsi="宋体" w:eastAsia="彩虹粗仿宋" w:cs="Arial"/>
                <w:bCs/>
                <w:sz w:val="24"/>
                <w:vertAlign w:val="subscript"/>
              </w:rPr>
              <w:t>b</w:t>
            </w:r>
            <w:r>
              <w:rPr>
                <w:rFonts w:ascii="彩虹粗仿宋" w:hAnsi="宋体" w:eastAsia="彩虹粗仿宋" w:cs="Arial"/>
                <w:bCs/>
                <w:sz w:val="24"/>
              </w:rPr>
              <w:t>+6%，R＞0</w:t>
            </w:r>
          </w:p>
        </w:tc>
        <w:tc>
          <w:tcPr>
            <w:tcW w:w="1122" w:type="pct"/>
            <w:shd w:val="clear" w:color="auto" w:fill="auto"/>
            <w:vAlign w:val="center"/>
          </w:tcPr>
          <w:p>
            <w:pPr>
              <w:adjustRightInd w:val="0"/>
              <w:snapToGrid w:val="0"/>
              <w:jc w:val="center"/>
              <w:rPr>
                <w:rFonts w:ascii="彩虹粗仿宋" w:hAnsi="宋体" w:eastAsia="彩虹粗仿宋" w:cs="Arial"/>
                <w:bCs/>
                <w:sz w:val="24"/>
              </w:rPr>
            </w:pPr>
            <w:r>
              <w:rPr>
                <w:rFonts w:ascii="彩虹粗仿宋" w:hAnsi="宋体" w:eastAsia="彩虹粗仿宋" w:cs="Arial"/>
                <w:bCs/>
                <w:sz w:val="24"/>
              </w:rPr>
              <w:t>0.60%</w:t>
            </w:r>
          </w:p>
        </w:tc>
        <w:tc>
          <w:tcPr>
            <w:tcW w:w="1122" w:type="pct"/>
            <w:shd w:val="clear" w:color="auto" w:fill="auto"/>
            <w:vAlign w:val="center"/>
          </w:tcPr>
          <w:p>
            <w:pPr>
              <w:adjustRightInd w:val="0"/>
              <w:snapToGrid w:val="0"/>
              <w:jc w:val="center"/>
              <w:rPr>
                <w:rFonts w:ascii="彩虹粗仿宋" w:hAnsi="宋体" w:eastAsia="彩虹粗仿宋" w:cs="Arial"/>
                <w:bCs/>
                <w:sz w:val="24"/>
              </w:rPr>
            </w:pPr>
            <w:r>
              <w:rPr>
                <w:rFonts w:ascii="彩虹粗仿宋" w:hAnsi="宋体" w:eastAsia="彩虹粗仿宋" w:cs="Arial"/>
                <w:bCs/>
                <w:sz w:val="24"/>
              </w:rPr>
              <w:t>0.30%</w:t>
            </w:r>
          </w:p>
        </w:tc>
      </w:tr>
    </w:tbl>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对于“情形三”，若拟扣除超额管理费后的年化收益率小于等于</w:t>
      </w:r>
      <w:r>
        <w:rPr>
          <w:rFonts w:ascii="彩虹粗仿宋" w:hAnsi="宋体" w:eastAsia="彩虹粗仿宋" w:cs="Arial"/>
          <w:bCs/>
          <w:sz w:val="24"/>
        </w:rPr>
        <w:t>R</w:t>
      </w:r>
      <w:r>
        <w:rPr>
          <w:rFonts w:ascii="彩虹粗仿宋" w:hAnsi="宋体" w:eastAsia="彩虹粗仿宋" w:cs="Arial"/>
          <w:bCs/>
          <w:sz w:val="24"/>
          <w:vertAlign w:val="subscript"/>
        </w:rPr>
        <w:t>b</w:t>
      </w:r>
      <w:r>
        <w:rPr>
          <w:rFonts w:ascii="彩虹粗仿宋" w:hAnsi="宋体" w:eastAsia="彩虹粗仿宋" w:cs="Arial"/>
          <w:bCs/>
          <w:sz w:val="24"/>
        </w:rPr>
        <w:t xml:space="preserve"> +6%</w:t>
      </w:r>
      <w:r>
        <w:rPr>
          <w:rFonts w:hint="eastAsia" w:ascii="彩虹粗仿宋" w:hAnsi="宋体" w:eastAsia="彩虹粗仿宋" w:cs="Arial"/>
          <w:bCs/>
          <w:sz w:val="24"/>
        </w:rPr>
        <w:t>，或小于等于0时，仍按1.20%年费率收取该笔基金份额的管理费，以使得该笔基金份额在扣除超额管理费后的年化收益率仍需满足本基金收取超额管理费的标准。</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每笔基金份额的年化收益率（</w:t>
      </w:r>
      <w:r>
        <w:rPr>
          <w:rFonts w:ascii="彩虹粗仿宋" w:hAnsi="宋体" w:eastAsia="彩虹粗仿宋" w:cs="Arial"/>
          <w:bCs/>
          <w:sz w:val="24"/>
        </w:rPr>
        <w:t>R</w:t>
      </w:r>
      <w:r>
        <w:rPr>
          <w:rFonts w:hint="eastAsia" w:ascii="彩虹粗仿宋" w:hAnsi="宋体" w:eastAsia="彩虹粗仿宋" w:cs="Arial"/>
          <w:bCs/>
          <w:sz w:val="24"/>
        </w:rPr>
        <w:t>）计算方法如下：</w:t>
      </w:r>
    </w:p>
    <w:p>
      <w:pPr>
        <w:adjustRightInd w:val="0"/>
        <w:snapToGrid w:val="0"/>
        <w:ind w:firstLine="480" w:firstLineChars="200"/>
        <w:rPr>
          <w:rFonts w:ascii="彩虹粗仿宋" w:hAnsi="宋体" w:eastAsia="彩虹粗仿宋" w:cs="Arial"/>
          <w:bCs/>
          <w:iCs/>
          <w:sz w:val="24"/>
        </w:rPr>
      </w:pPr>
      <m:oMathPara>
        <m:oMath>
          <m:r>
            <m:rPr>
              <m:sty m:val="p"/>
            </m:rPr>
            <w:rPr>
              <w:rFonts w:ascii="Cambria Math" w:hAnsi="Cambria Math" w:eastAsia="彩虹粗仿宋" w:cs="Arial"/>
              <w:sz w:val="24"/>
            </w:rPr>
            <m:t>R=</m:t>
          </m:r>
          <m:f>
            <m:fPr>
              <m:ctrlPr>
                <w:rPr>
                  <w:rFonts w:ascii="Cambria Math" w:hAnsi="Cambria Math" w:eastAsia="彩虹粗仿宋" w:cs="Arial"/>
                  <w:bCs/>
                  <w:sz w:val="24"/>
                </w:rPr>
              </m:ctrlPr>
            </m:fPr>
            <m:num>
              <m:r>
                <m:rPr/>
                <w:rPr>
                  <w:rFonts w:ascii="Cambria Math" w:hAnsi="Cambria Math" w:eastAsia="彩虹粗仿宋" w:cs="Arial"/>
                  <w:sz w:val="24"/>
                </w:rPr>
                <m:t>A−B</m:t>
              </m:r>
              <m:ctrlPr>
                <w:rPr>
                  <w:rFonts w:ascii="Cambria Math" w:hAnsi="Cambria Math" w:eastAsia="彩虹粗仿宋" w:cs="Arial"/>
                  <w:bCs/>
                  <w:sz w:val="24"/>
                </w:rPr>
              </m:ctrlPr>
            </m:num>
            <m:den>
              <m:r>
                <m:rPr/>
                <w:rPr>
                  <w:rFonts w:ascii="Cambria Math" w:hAnsi="Cambria Math" w:eastAsia="彩虹粗仿宋" w:cs="Arial"/>
                  <w:sz w:val="24"/>
                </w:rPr>
                <m:t>C</m:t>
              </m:r>
              <m:ctrlPr>
                <w:rPr>
                  <w:rFonts w:ascii="Cambria Math" w:hAnsi="Cambria Math" w:eastAsia="彩虹粗仿宋" w:cs="Arial"/>
                  <w:bCs/>
                  <w:sz w:val="24"/>
                </w:rPr>
              </m:ctrlPr>
            </m:den>
          </m:f>
          <m:r>
            <m:rPr/>
            <w:rPr>
              <w:rFonts w:ascii="Cambria Math" w:hAnsi="Cambria Math" w:eastAsia="彩虹粗仿宋" w:cs="Arial"/>
              <w:sz w:val="24"/>
            </w:rPr>
            <m:t>×</m:t>
          </m:r>
          <m:f>
            <m:fPr>
              <m:ctrlPr>
                <w:rPr>
                  <w:rFonts w:ascii="Cambria Math" w:hAnsi="Cambria Math" w:eastAsia="彩虹粗仿宋" w:cs="Arial"/>
                  <w:bCs/>
                  <w:i/>
                  <w:sz w:val="24"/>
                </w:rPr>
              </m:ctrlPr>
            </m:fPr>
            <m:num>
              <m:r>
                <m:rPr/>
                <w:rPr>
                  <w:rFonts w:ascii="Cambria Math" w:hAnsi="Cambria Math" w:eastAsia="彩虹粗仿宋" w:cs="Arial"/>
                  <w:sz w:val="24"/>
                </w:rPr>
                <m:t>365</m:t>
              </m:r>
              <m:ctrlPr>
                <w:rPr>
                  <w:rFonts w:ascii="Cambria Math" w:hAnsi="Cambria Math" w:eastAsia="彩虹粗仿宋" w:cs="Arial"/>
                  <w:bCs/>
                  <w:i/>
                  <w:sz w:val="24"/>
                </w:rPr>
              </m:ctrlPr>
            </m:num>
            <m:den>
              <m:r>
                <m:rPr/>
                <w:rPr>
                  <w:rFonts w:ascii="Cambria Math" w:hAnsi="Cambria Math" w:eastAsia="彩虹粗仿宋" w:cs="Arial"/>
                  <w:sz w:val="24"/>
                </w:rPr>
                <m:t>D</m:t>
              </m:r>
              <m:ctrlPr>
                <w:rPr>
                  <w:rFonts w:ascii="Cambria Math" w:hAnsi="Cambria Math" w:eastAsia="彩虹粗仿宋" w:cs="Arial"/>
                  <w:bCs/>
                  <w:i/>
                  <w:sz w:val="24"/>
                </w:rPr>
              </m:ctrlPr>
            </m:den>
          </m:f>
          <m:r>
            <m:rPr/>
            <w:rPr>
              <w:rFonts w:ascii="Cambria Math" w:hAnsi="Cambria Math" w:eastAsia="彩虹粗仿宋" w:cs="Arial"/>
              <w:sz w:val="24"/>
            </w:rPr>
            <m:t>×100%</m:t>
          </m:r>
        </m:oMath>
      </m:oMathPara>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拟扣除超额管理费后的年化收益率（R*）的计算方法如下：</w:t>
      </w:r>
    </w:p>
    <w:p>
      <w:pPr>
        <w:adjustRightInd w:val="0"/>
        <w:snapToGrid w:val="0"/>
        <w:ind w:firstLine="480" w:firstLineChars="200"/>
        <w:rPr>
          <w:rFonts w:ascii="彩虹粗仿宋" w:hAnsi="宋体" w:eastAsia="彩虹粗仿宋" w:cs="Arial"/>
          <w:bCs/>
          <w:sz w:val="24"/>
        </w:rPr>
      </w:pPr>
      <m:oMathPara>
        <m:oMath>
          <m:r>
            <m:rPr>
              <m:sty m:val="p"/>
            </m:rPr>
            <w:rPr>
              <w:rFonts w:ascii="Cambria Math" w:hAnsi="Cambria Math" w:eastAsia="彩虹粗仿宋" w:cs="Arial"/>
              <w:sz w:val="24"/>
            </w:rPr>
            <m:t>R</m:t>
          </m:r>
          <m:r>
            <m:rPr/>
            <w:rPr>
              <w:rFonts w:ascii="Cambria Math" w:hAnsi="Cambria Math" w:eastAsia="彩虹粗仿宋" w:cs="Arial"/>
              <w:sz w:val="24"/>
            </w:rPr>
            <m:t>∗=</m:t>
          </m:r>
          <m:f>
            <m:fPr>
              <m:ctrlPr>
                <w:rPr>
                  <w:rFonts w:ascii="Cambria Math" w:hAnsi="Cambria Math" w:eastAsia="彩虹粗仿宋" w:cs="Arial"/>
                  <w:bCs/>
                  <w:i/>
                  <w:sz w:val="24"/>
                </w:rPr>
              </m:ctrlPr>
            </m:fPr>
            <m:num>
              <m:r>
                <m:rPr/>
                <w:rPr>
                  <w:rFonts w:ascii="Cambria Math" w:hAnsi="Cambria Math" w:eastAsia="彩虹粗仿宋" w:cs="Arial"/>
                  <w:sz w:val="24"/>
                </w:rPr>
                <m:t>F×</m:t>
              </m:r>
              <m:d>
                <m:dPr>
                  <m:ctrlPr>
                    <w:rPr>
                      <w:rFonts w:ascii="Cambria Math" w:hAnsi="Cambria Math" w:eastAsia="彩虹粗仿宋" w:cs="Arial"/>
                      <w:bCs/>
                      <w:i/>
                      <w:sz w:val="24"/>
                    </w:rPr>
                  </m:ctrlPr>
                </m:dPr>
                <m:e>
                  <m:r>
                    <m:rPr/>
                    <w:rPr>
                      <w:rFonts w:ascii="Cambria Math" w:hAnsi="Cambria Math" w:eastAsia="彩虹粗仿宋" w:cs="Arial"/>
                      <w:sz w:val="24"/>
                    </w:rPr>
                    <m:t>A−B</m:t>
                  </m:r>
                  <m:ctrlPr>
                    <w:rPr>
                      <w:rFonts w:ascii="Cambria Math" w:hAnsi="Cambria Math" w:eastAsia="彩虹粗仿宋" w:cs="Arial"/>
                      <w:bCs/>
                      <w:i/>
                      <w:sz w:val="24"/>
                    </w:rPr>
                  </m:ctrlPr>
                </m:e>
              </m:d>
              <m:r>
                <m:rPr/>
                <w:rPr>
                  <w:rFonts w:ascii="Cambria Math" w:hAnsi="Cambria Math" w:eastAsia="彩虹粗仿宋" w:cs="Arial"/>
                  <w:sz w:val="24"/>
                </w:rPr>
                <m:t>−</m:t>
              </m:r>
              <m:sSub>
                <m:sSubPr>
                  <m:ctrlPr>
                    <w:rPr>
                      <w:rFonts w:ascii="Cambria Math" w:hAnsi="Cambria Math" w:eastAsia="彩虹粗仿宋" w:cs="Arial"/>
                      <w:bCs/>
                      <w:i/>
                      <w:sz w:val="24"/>
                    </w:rPr>
                  </m:ctrlPr>
                </m:sSubPr>
                <m:e>
                  <m:r>
                    <m:rPr/>
                    <w:rPr>
                      <w:rFonts w:ascii="Cambria Math" w:hAnsi="Cambria Math" w:eastAsia="彩虹粗仿宋" w:cs="Arial"/>
                      <w:sz w:val="24"/>
                    </w:rPr>
                    <m:t>M</m:t>
                  </m:r>
                  <m:ctrlPr>
                    <w:rPr>
                      <w:rFonts w:ascii="Cambria Math" w:hAnsi="Cambria Math" w:eastAsia="彩虹粗仿宋" w:cs="Arial"/>
                      <w:bCs/>
                      <w:i/>
                      <w:sz w:val="24"/>
                    </w:rPr>
                  </m:ctrlPr>
                </m:e>
                <m:sub>
                  <m:r>
                    <m:rPr/>
                    <w:rPr>
                      <w:rFonts w:ascii="Cambria Math" w:hAnsi="Cambria Math" w:eastAsia="彩虹粗仿宋" w:cs="Arial"/>
                      <w:sz w:val="24"/>
                    </w:rPr>
                    <m:t>C</m:t>
                  </m:r>
                  <m:ctrlPr>
                    <w:rPr>
                      <w:rFonts w:ascii="Cambria Math" w:hAnsi="Cambria Math" w:eastAsia="彩虹粗仿宋" w:cs="Arial"/>
                      <w:bCs/>
                      <w:i/>
                      <w:sz w:val="24"/>
                    </w:rPr>
                  </m:ctrlPr>
                </m:sub>
              </m:sSub>
              <m:ctrlPr>
                <w:rPr>
                  <w:rFonts w:ascii="Cambria Math" w:hAnsi="Cambria Math" w:eastAsia="彩虹粗仿宋" w:cs="Arial"/>
                  <w:bCs/>
                  <w:i/>
                  <w:sz w:val="24"/>
                </w:rPr>
              </m:ctrlPr>
            </m:num>
            <m:den>
              <m:r>
                <m:rPr/>
                <w:rPr>
                  <w:rFonts w:ascii="Cambria Math" w:hAnsi="Cambria Math" w:eastAsia="彩虹粗仿宋" w:cs="Arial"/>
                  <w:sz w:val="24"/>
                </w:rPr>
                <m:t>F×C</m:t>
              </m:r>
              <m:ctrlPr>
                <w:rPr>
                  <w:rFonts w:ascii="Cambria Math" w:hAnsi="Cambria Math" w:eastAsia="彩虹粗仿宋" w:cs="Arial"/>
                  <w:bCs/>
                  <w:i/>
                  <w:sz w:val="24"/>
                </w:rPr>
              </m:ctrlPr>
            </m:den>
          </m:f>
          <m:r>
            <m:rPr/>
            <w:rPr>
              <w:rFonts w:ascii="Cambria Math" w:hAnsi="Cambria Math" w:eastAsia="彩虹粗仿宋" w:cs="Arial"/>
              <w:sz w:val="24"/>
            </w:rPr>
            <m:t>×</m:t>
          </m:r>
          <m:f>
            <m:fPr>
              <m:ctrlPr>
                <w:rPr>
                  <w:rFonts w:ascii="Cambria Math" w:hAnsi="Cambria Math" w:eastAsia="彩虹粗仿宋" w:cs="Arial"/>
                  <w:bCs/>
                  <w:i/>
                  <w:sz w:val="24"/>
                </w:rPr>
              </m:ctrlPr>
            </m:fPr>
            <m:num>
              <m:r>
                <m:rPr/>
                <w:rPr>
                  <w:rFonts w:ascii="Cambria Math" w:hAnsi="Cambria Math" w:eastAsia="彩虹粗仿宋" w:cs="Arial"/>
                  <w:sz w:val="24"/>
                </w:rPr>
                <m:t>365</m:t>
              </m:r>
              <m:ctrlPr>
                <w:rPr>
                  <w:rFonts w:ascii="Cambria Math" w:hAnsi="Cambria Math" w:eastAsia="彩虹粗仿宋" w:cs="Arial"/>
                  <w:bCs/>
                  <w:i/>
                  <w:sz w:val="24"/>
                </w:rPr>
              </m:ctrlPr>
            </m:num>
            <m:den>
              <m:r>
                <m:rPr/>
                <w:rPr>
                  <w:rFonts w:ascii="Cambria Math" w:hAnsi="Cambria Math" w:eastAsia="彩虹粗仿宋" w:cs="Arial"/>
                  <w:sz w:val="24"/>
                </w:rPr>
                <m:t>D</m:t>
              </m:r>
              <m:ctrlPr>
                <w:rPr>
                  <w:rFonts w:ascii="Cambria Math" w:hAnsi="Cambria Math" w:eastAsia="彩虹粗仿宋" w:cs="Arial"/>
                  <w:bCs/>
                  <w:i/>
                  <w:sz w:val="24"/>
                </w:rPr>
              </m:ctrlPr>
            </m:den>
          </m:f>
          <m:r>
            <m:rPr/>
            <w:rPr>
              <w:rFonts w:ascii="Cambria Math" w:hAnsi="Cambria Math" w:eastAsia="彩虹粗仿宋" w:cs="Arial"/>
              <w:sz w:val="24"/>
            </w:rPr>
            <m:t>×100%</m:t>
          </m:r>
        </m:oMath>
      </m:oMathPara>
    </w:p>
    <w:p>
      <w:pPr>
        <w:adjustRightInd w:val="0"/>
        <w:snapToGrid w:val="0"/>
        <w:ind w:firstLine="480" w:firstLineChars="200"/>
        <w:rPr>
          <w:rFonts w:ascii="彩虹粗仿宋" w:hAnsi="宋体" w:eastAsia="彩虹粗仿宋" w:cs="Arial"/>
          <w:bCs/>
          <w:sz w:val="24"/>
        </w:rPr>
      </w:pPr>
      <w:r>
        <w:rPr>
          <w:rFonts w:ascii="彩虹粗仿宋" w:hAnsi="宋体" w:eastAsia="彩虹粗仿宋" w:cs="Arial"/>
          <w:bCs/>
          <w:sz w:val="24"/>
        </w:rPr>
        <w:t>R</w:t>
      </w:r>
      <w:r>
        <w:rPr>
          <w:rFonts w:hint="eastAsia" w:ascii="彩虹粗仿宋" w:hAnsi="宋体" w:eastAsia="彩虹粗仿宋" w:cs="Arial"/>
          <w:bCs/>
          <w:sz w:val="24"/>
        </w:rPr>
        <w:t>为该笔基金份额的年化收益率；</w:t>
      </w:r>
      <w:r>
        <w:rPr>
          <w:rFonts w:ascii="彩虹粗仿宋" w:hAnsi="宋体" w:eastAsia="彩虹粗仿宋" w:cs="Arial"/>
          <w:bCs/>
          <w:sz w:val="24"/>
        </w:rPr>
        <w:t>R</w:t>
      </w:r>
      <w:r>
        <w:rPr>
          <w:rFonts w:ascii="彩虹粗仿宋" w:hAnsi="宋体" w:eastAsia="彩虹粗仿宋" w:cs="Arial"/>
          <w:bCs/>
          <w:sz w:val="24"/>
          <w:vertAlign w:val="subscript"/>
        </w:rPr>
        <w:t>b</w:t>
      </w:r>
      <w:r>
        <w:rPr>
          <w:rFonts w:hint="eastAsia" w:ascii="彩虹粗仿宋" w:hAnsi="宋体" w:eastAsia="彩虹粗仿宋" w:cs="Arial"/>
          <w:bCs/>
          <w:sz w:val="24"/>
        </w:rPr>
        <w:t>为本基金业绩比较基准同期年化收益率；</w:t>
      </w:r>
    </w:p>
    <w:p>
      <w:pPr>
        <w:adjustRightInd w:val="0"/>
        <w:snapToGrid w:val="0"/>
        <w:ind w:firstLine="480" w:firstLineChars="200"/>
        <w:rPr>
          <w:rFonts w:ascii="彩虹粗仿宋" w:hAnsi="宋体" w:eastAsia="彩虹粗仿宋" w:cs="Arial"/>
          <w:bCs/>
          <w:sz w:val="24"/>
        </w:rPr>
      </w:pPr>
      <w:r>
        <w:rPr>
          <w:rFonts w:ascii="彩虹粗仿宋" w:hAnsi="宋体" w:eastAsia="彩虹粗仿宋" w:cs="Arial"/>
          <w:bCs/>
          <w:sz w:val="24"/>
        </w:rPr>
        <w:t>A为</w:t>
      </w:r>
      <w:r>
        <w:rPr>
          <w:rFonts w:hint="eastAsia" w:ascii="彩虹粗仿宋" w:hAnsi="宋体" w:eastAsia="彩虹粗仿宋" w:cs="Arial"/>
          <w:bCs/>
          <w:sz w:val="24"/>
        </w:rPr>
        <w:t>该笔基金份额在赎回、转出申请日或基金合同终止情形发生日的基金份额累计净值；</w:t>
      </w:r>
    </w:p>
    <w:p>
      <w:pPr>
        <w:adjustRightInd w:val="0"/>
        <w:snapToGrid w:val="0"/>
        <w:ind w:firstLine="480" w:firstLineChars="200"/>
        <w:rPr>
          <w:rFonts w:ascii="彩虹粗仿宋" w:hAnsi="宋体" w:eastAsia="彩虹粗仿宋" w:cs="Arial"/>
          <w:bCs/>
          <w:sz w:val="24"/>
        </w:rPr>
      </w:pPr>
      <w:r>
        <w:rPr>
          <w:rFonts w:ascii="彩虹粗仿宋" w:hAnsi="宋体" w:eastAsia="彩虹粗仿宋" w:cs="Arial"/>
          <w:bCs/>
          <w:sz w:val="24"/>
        </w:rPr>
        <w:t>B为</w:t>
      </w:r>
      <w:r>
        <w:rPr>
          <w:rFonts w:hint="eastAsia" w:ascii="彩虹粗仿宋" w:hAnsi="宋体" w:eastAsia="彩虹粗仿宋" w:cs="Arial"/>
          <w:bCs/>
          <w:sz w:val="24"/>
        </w:rPr>
        <w:t>该笔基金份额在认购日、申购或转入申请日的基金份额累计净值，其中认购日基金份额（累计）净值为1.00元；</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C为该笔基金份额在认购日、申购或转入申请日的基金份额净值，其中认购</w:t>
      </w:r>
      <w:r>
        <w:rPr>
          <w:rFonts w:ascii="彩虹粗仿宋" w:hAnsi="宋体" w:eastAsia="彩虹粗仿宋" w:cs="Arial"/>
          <w:bCs/>
          <w:sz w:val="24"/>
        </w:rPr>
        <w:t>日的基金份额净值为</w:t>
      </w:r>
      <w:r>
        <w:rPr>
          <w:rFonts w:hint="eastAsia" w:ascii="彩虹粗仿宋" w:hAnsi="宋体" w:eastAsia="彩虹粗仿宋" w:cs="Arial"/>
          <w:bCs/>
          <w:sz w:val="24"/>
        </w:rPr>
        <w:t>1</w:t>
      </w:r>
      <w:r>
        <w:rPr>
          <w:rFonts w:ascii="彩虹粗仿宋" w:hAnsi="宋体" w:eastAsia="彩虹粗仿宋" w:cs="Arial"/>
          <w:bCs/>
          <w:sz w:val="24"/>
        </w:rPr>
        <w:t>.00元</w:t>
      </w:r>
      <w:r>
        <w:rPr>
          <w:rFonts w:hint="eastAsia" w:ascii="彩虹粗仿宋" w:hAnsi="宋体" w:eastAsia="彩虹粗仿宋" w:cs="Arial"/>
          <w:bCs/>
          <w:sz w:val="24"/>
        </w:rPr>
        <w:t>；</w:t>
      </w:r>
    </w:p>
    <w:p>
      <w:pPr>
        <w:adjustRightInd w:val="0"/>
        <w:snapToGrid w:val="0"/>
        <w:ind w:firstLine="480" w:firstLineChars="200"/>
        <w:rPr>
          <w:rFonts w:ascii="彩虹粗仿宋" w:hAnsi="宋体" w:eastAsia="彩虹粗仿宋" w:cs="Arial"/>
          <w:bCs/>
          <w:sz w:val="24"/>
        </w:rPr>
      </w:pPr>
      <w:r>
        <w:rPr>
          <w:rFonts w:ascii="彩虹粗仿宋" w:hAnsi="宋体" w:eastAsia="彩虹粗仿宋" w:cs="Arial"/>
          <w:bCs/>
          <w:sz w:val="24"/>
        </w:rPr>
        <w:t>D为</w:t>
      </w:r>
      <w:r>
        <w:rPr>
          <w:rFonts w:hint="eastAsia" w:ascii="彩虹粗仿宋" w:hAnsi="宋体" w:eastAsia="彩虹粗仿宋" w:cs="Arial"/>
          <w:bCs/>
          <w:sz w:val="24"/>
        </w:rPr>
        <w:t>基金合同生效日（针对募集期内认购的基金份额）或该笔基金份额申购、转入确认日</w:t>
      </w:r>
      <w:r>
        <w:rPr>
          <w:rFonts w:ascii="彩虹粗仿宋" w:hAnsi="宋体" w:eastAsia="彩虹粗仿宋" w:cs="Arial"/>
          <w:bCs/>
          <w:sz w:val="24"/>
        </w:rPr>
        <w:t>与</w:t>
      </w:r>
      <w:r>
        <w:rPr>
          <w:rFonts w:hint="eastAsia" w:ascii="彩虹粗仿宋" w:hAnsi="宋体" w:eastAsia="彩虹粗仿宋" w:cs="Arial"/>
          <w:bCs/>
          <w:sz w:val="24"/>
        </w:rPr>
        <w:t>赎回、转出确认日或基金合同终止情形发生日下一工作日</w:t>
      </w:r>
      <w:r>
        <w:rPr>
          <w:rFonts w:ascii="彩虹粗仿宋" w:hAnsi="宋体" w:eastAsia="彩虹粗仿宋" w:cs="Arial"/>
          <w:bCs/>
          <w:sz w:val="24"/>
        </w:rPr>
        <w:t>的间隔天数</w:t>
      </w:r>
      <w:r>
        <w:rPr>
          <w:rFonts w:hint="eastAsia" w:ascii="彩虹粗仿宋" w:hAnsi="宋体" w:eastAsia="彩虹粗仿宋" w:cs="Arial"/>
          <w:bCs/>
          <w:sz w:val="24"/>
        </w:rPr>
        <w:t>；</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F为该笔基金份额的份额数；</w:t>
      </w:r>
    </w:p>
    <w:p>
      <w:pPr>
        <w:adjustRightInd w:val="0"/>
        <w:snapToGrid w:val="0"/>
        <w:ind w:firstLine="480" w:firstLineChars="200"/>
        <w:rPr>
          <w:rFonts w:ascii="彩虹粗仿宋" w:hAnsi="宋体" w:eastAsia="彩虹粗仿宋" w:cs="Arial"/>
          <w:bCs/>
          <w:sz w:val="24"/>
        </w:rPr>
      </w:pPr>
      <w:r>
        <w:rPr>
          <w:rFonts w:ascii="Cambria Math" w:hAnsi="Cambria Math" w:eastAsia="彩虹粗仿宋" w:cs="Cambria Math"/>
          <w:bCs/>
          <w:sz w:val="24"/>
        </w:rPr>
        <w:t>𝑀𝑐</w:t>
      </w:r>
      <w:r>
        <w:rPr>
          <w:rFonts w:hint="eastAsia" w:ascii="彩虹粗仿宋" w:hAnsi="宋体" w:eastAsia="彩虹粗仿宋" w:cs="Arial"/>
          <w:bCs/>
          <w:sz w:val="24"/>
        </w:rPr>
        <w:t>为该笔基金份额持有期内拟扣除的超额管理费。</w:t>
      </w:r>
    </w:p>
    <w:p>
      <w:pPr>
        <w:adjustRightInd w:val="0"/>
        <w:snapToGrid w:val="0"/>
        <w:ind w:firstLine="480" w:firstLineChars="200"/>
        <w:rPr>
          <w:rFonts w:ascii="彩虹粗仿宋" w:hAnsi="宋体" w:eastAsia="彩虹粗仿宋" w:cs="Arial"/>
          <w:bCs/>
          <w:sz w:val="24"/>
        </w:rPr>
      </w:pPr>
      <w:r>
        <w:rPr>
          <w:rFonts w:ascii="彩虹粗仿宋" w:hAnsi="宋体" w:eastAsia="彩虹粗仿宋" w:cs="Arial"/>
          <w:bCs/>
          <w:sz w:val="24"/>
        </w:rPr>
        <w:t>对于已经确认为管理人收入的或有管理费和超额管理费，基金托管人将按照与基金管理人双方协商一致的方式支付给</w:t>
      </w:r>
      <w:r>
        <w:rPr>
          <w:rFonts w:hint="eastAsia" w:ascii="彩虹粗仿宋" w:hAnsi="宋体" w:eastAsia="彩虹粗仿宋" w:cs="Arial"/>
          <w:bCs/>
          <w:sz w:val="24"/>
        </w:rPr>
        <w:t>基金</w:t>
      </w:r>
      <w:r>
        <w:rPr>
          <w:rFonts w:ascii="彩虹粗仿宋" w:hAnsi="宋体" w:eastAsia="彩虹粗仿宋" w:cs="Arial"/>
          <w:bCs/>
          <w:sz w:val="24"/>
        </w:rPr>
        <w:t>管理人。若遇法定节假日、休息日或不可抗力致使无法按时支付的，支付日期顺延。费用扣划后，基金管理人应进行核对，如发现数据不符，及时联系基金托管人协商解决。</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因涉及相关数据，基金管理人的或有管理费和超额管理费的计算和复核工作由基金管理人完成，相关信息以注册登记机构计算结果为准，基金托管人不承担复核责任。</w:t>
      </w:r>
    </w:p>
    <w:p>
      <w:pPr>
        <w:adjustRightInd w:val="0"/>
        <w:snapToGrid w:val="0"/>
        <w:ind w:firstLine="480" w:firstLineChars="200"/>
        <w:rPr>
          <w:rFonts w:ascii="彩虹粗仿宋" w:hAnsi="宋体" w:eastAsia="彩虹粗仿宋" w:cs="Arial"/>
          <w:bCs/>
          <w:sz w:val="24"/>
        </w:rPr>
      </w:pPr>
      <w:r>
        <w:rPr>
          <w:rFonts w:hint="eastAsia" w:ascii="彩虹粗仿宋" w:hAnsi="宋体" w:eastAsia="彩虹粗仿宋" w:cs="Arial"/>
          <w:bCs/>
          <w:sz w:val="24"/>
        </w:rPr>
        <w:t>在不违反法律法规、基金合同的约定的情况下，基金管理人可根据基金实际运作情况和市场环境变化，经履行适当程序后，对本基金的管理费（含固定管理费、或有管理费和超额管理费）计提标准或收取方式进行调整。</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（二）基金托管费的计提比例和计提方法</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本基金的托管费按前一日基金资产净值的</w:t>
      </w:r>
      <w:r>
        <w:rPr>
          <w:rFonts w:ascii="彩虹粗仿宋" w:hAnsi="宋体" w:eastAsia="彩虹粗仿宋" w:cs="Arial"/>
          <w:sz w:val="24"/>
        </w:rPr>
        <w:t>0.20</w:t>
      </w:r>
      <w:r>
        <w:rPr>
          <w:rFonts w:hint="eastAsia" w:ascii="彩虹粗仿宋" w:hAnsi="宋体" w:eastAsia="彩虹粗仿宋" w:cs="Arial"/>
          <w:sz w:val="24"/>
        </w:rPr>
        <w:t>%年费率计提。托管费的计算方法如下：</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H＝E×</w:t>
      </w:r>
      <w:r>
        <w:rPr>
          <w:rFonts w:ascii="彩虹粗仿宋" w:hAnsi="宋体" w:eastAsia="彩虹粗仿宋" w:cs="Arial"/>
          <w:sz w:val="24"/>
        </w:rPr>
        <w:t>0.20</w:t>
      </w:r>
      <w:r>
        <w:rPr>
          <w:rFonts w:hint="eastAsia" w:ascii="彩虹粗仿宋" w:hAnsi="宋体" w:eastAsia="彩虹粗仿宋" w:cs="Arial"/>
          <w:sz w:val="24"/>
        </w:rPr>
        <w:t>%÷当年天数</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H为每日应计提的基金托管费</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E为前一日的基金资产净值</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（三）销售服务费的计提比例和计提方法</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本基金A类基金份额不收取销售服务费，C类基金份额的销售服务费年费率为0.60%。本基金销售服务费将专门用于本基金的销售与基金份额持有人服务，基金管理人将在基金年度报告中对该项费用的列支情况作专项说明。销售服务费计提的计算公式如下：</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H=E×0.60%÷当年天数</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H为C类基金份额每日应计提的销售服务费</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E为C类基金份额前一日的基金资产净值</w:t>
      </w:r>
    </w:p>
    <w:p>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（四）</w:t>
      </w:r>
      <w:r>
        <w:rPr>
          <w:rFonts w:ascii="彩虹粗仿宋" w:hAnsi="宋体" w:eastAsia="彩虹粗仿宋" w:cs="Arial"/>
          <w:sz w:val="24"/>
        </w:rPr>
        <w:t>证券/期货等交易</w:t>
      </w:r>
      <w:r>
        <w:rPr>
          <w:rFonts w:hint="eastAsia" w:ascii="彩虹粗仿宋" w:hAnsi="宋体" w:eastAsia="彩虹粗仿宋" w:cs="Arial"/>
          <w:sz w:val="24"/>
        </w:rPr>
        <w:t>和结算</w:t>
      </w:r>
      <w:r>
        <w:rPr>
          <w:rFonts w:ascii="彩虹粗仿宋" w:hAnsi="宋体" w:eastAsia="彩虹粗仿宋" w:cs="Arial"/>
          <w:sz w:val="24"/>
        </w:rPr>
        <w:t>费用、基金的银行汇划费用、基金</w:t>
      </w:r>
      <w:r>
        <w:rPr>
          <w:rFonts w:hint="eastAsia" w:ascii="彩虹粗仿宋" w:hAnsi="宋体" w:eastAsia="彩虹粗仿宋" w:cs="Arial"/>
          <w:sz w:val="24"/>
        </w:rPr>
        <w:t>相关账户的开户费用及维护费用</w:t>
      </w:r>
      <w:r>
        <w:rPr>
          <w:rFonts w:ascii="彩虹粗仿宋" w:hAnsi="宋体" w:eastAsia="彩虹粗仿宋" w:cs="Arial"/>
          <w:sz w:val="24"/>
        </w:rPr>
        <w:t>、基金合同生效后与基金相关的信息披露费用、基金份额持有人大会费用、基金合同生效后与基金有关的</w:t>
      </w:r>
      <w:r>
        <w:rPr>
          <w:rFonts w:hint="eastAsia" w:ascii="彩虹粗仿宋" w:hAnsi="宋体" w:eastAsia="彩虹粗仿宋" w:cs="Arial"/>
          <w:sz w:val="24"/>
        </w:rPr>
        <w:t>会计师费、律师费、仲裁费、诉讼费、公证费</w:t>
      </w:r>
      <w:r>
        <w:rPr>
          <w:rFonts w:ascii="彩虹粗仿宋" w:hAnsi="宋体" w:eastAsia="彩虹粗仿宋" w:cs="Arial"/>
          <w:sz w:val="24"/>
        </w:rPr>
        <w:t>、因投资港股通标的股票</w:t>
      </w:r>
      <w:r>
        <w:rPr>
          <w:rFonts w:hint="eastAsia" w:ascii="彩虹粗仿宋" w:hAnsi="宋体" w:eastAsia="彩虹粗仿宋" w:cs="Arial"/>
          <w:sz w:val="24"/>
        </w:rPr>
        <w:t>的相关费用</w:t>
      </w:r>
      <w:r>
        <w:rPr>
          <w:rFonts w:ascii="彩虹粗仿宋" w:hAnsi="宋体" w:eastAsia="彩虹粗仿宋" w:cs="Arial"/>
          <w:sz w:val="24"/>
        </w:rPr>
        <w:t>等根据有关法律法规、基金合同及相应协议的规定可以在基金财产中列支的其他费用，列入当期基金费用。</w:t>
      </w:r>
    </w:p>
    <w:p>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（五）不列入基金费用的项目</w:t>
      </w:r>
    </w:p>
    <w:p>
      <w:pPr>
        <w:adjustRightInd w:val="0"/>
        <w:snapToGrid w:val="0"/>
        <w:ind w:firstLine="480" w:firstLineChars="200"/>
        <w:outlineLvl w:val="0"/>
        <w:rPr>
          <w:rFonts w:ascii="彩虹粗仿宋" w:hAnsi="宋体" w:eastAsia="彩虹粗仿宋" w:cs="Arial"/>
          <w:sz w:val="24"/>
        </w:rPr>
      </w:pPr>
      <w:r>
        <w:rPr>
          <w:rFonts w:ascii="彩虹粗仿宋" w:hAnsi="宋体" w:eastAsia="彩虹粗仿宋" w:cs="Arial"/>
          <w:sz w:val="24"/>
        </w:rPr>
        <w:t>《基金合同》生效前的律师费、会计师费和信息披露费用等相关费用不得从基金财产中列支；基金管理人和基金托管人因未履行或未完全履行义务导致的费用支出或基金财产的损失，处理与基金运作无关的事项发生的费用以及其他根据相关法律法规及中国证监会的有关规定不得列入基金费用的项目等不列入基金费用。</w:t>
      </w:r>
    </w:p>
    <w:p>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（六）基金管理费、基金托管费和销售服务费的调整</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基金管理人和基金托管人经履行适当程序可协商酌情降低基金管理费、基金托管费和销售服务费，基金管理人必须最迟于新的费率实施日2日前在规定媒介上刊登公告。</w:t>
      </w:r>
    </w:p>
    <w:p>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（七）基金管理费、基金托管费和销售服务费的复核程序、支付方式和时间</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1.复核程序</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基金托管人对基金管理人计提的基金固定管理费、基金托管费和销售服务费等，根据本托管协议和《基金合同》的有关规定进行复核。</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2.支付方式和时间</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基金</w:t>
      </w:r>
      <w:r>
        <w:rPr>
          <w:rFonts w:hint="eastAsia" w:ascii="彩虹粗仿宋" w:hAnsi="宋体" w:eastAsia="彩虹粗仿宋" w:cs="Arial"/>
          <w:sz w:val="24"/>
        </w:rPr>
        <w:t>固定</w:t>
      </w:r>
      <w:r>
        <w:rPr>
          <w:rFonts w:ascii="彩虹粗仿宋" w:hAnsi="宋体" w:eastAsia="彩虹粗仿宋" w:cs="Arial"/>
          <w:sz w:val="24"/>
        </w:rPr>
        <w:t>管理费、基金托管费和销售服务费每日计提，逐日累计至每个月月末，按月支付。由基金托管人根据与基金管理人核对一致的财务数据，自动在次月初五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pPr>
        <w:adjustRightInd w:val="0"/>
        <w:snapToGrid w:val="0"/>
        <w:ind w:firstLine="480" w:firstLineChars="200"/>
        <w:rPr>
          <w:rFonts w:ascii="彩虹粗仿宋" w:hAnsi="宋体" w:eastAsia="彩虹粗仿宋" w:cs="Arial"/>
          <w:bCs/>
          <w:sz w:val="24"/>
        </w:rPr>
      </w:pPr>
      <w:r>
        <w:rPr>
          <w:rFonts w:ascii="彩虹粗仿宋" w:hAnsi="宋体" w:eastAsia="彩虹粗仿宋" w:cs="Arial"/>
          <w:bCs/>
          <w:sz w:val="24"/>
        </w:rPr>
        <w:t>对于已经确认为管理人收入的或有管理费和超额管理费，基金托管人将按照与基金管理人双方协商一致的方式支付给</w:t>
      </w:r>
      <w:r>
        <w:rPr>
          <w:rFonts w:hint="eastAsia" w:ascii="彩虹粗仿宋" w:hAnsi="宋体" w:eastAsia="彩虹粗仿宋" w:cs="Arial"/>
          <w:bCs/>
          <w:sz w:val="24"/>
        </w:rPr>
        <w:t>基金</w:t>
      </w:r>
      <w:r>
        <w:rPr>
          <w:rFonts w:ascii="彩虹粗仿宋" w:hAnsi="宋体" w:eastAsia="彩虹粗仿宋" w:cs="Arial"/>
          <w:bCs/>
          <w:sz w:val="24"/>
        </w:rPr>
        <w:t>管理人。若遇法定节假日、休息日或不可抗力致使无法按时支付的，支付日期顺延。费用扣划后，基金管理人应进行核对，如发现数据不符，及时联系基金托管人协商解决。</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因涉及相关数据，或有管理费和超额管理费的计算和复核工作由基金管理人完成，相关信息以注册登记机构计算结果为准。基金托管人不承担复核责任。</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在首期支付基金管理费、销售服务费前，基金管理人应向托管人出具正式函件指定基金管理费、销售服务费的收款账户。基金管理人如需要变更此账户，应提前5个工作日向托管人出具书面的收款账户变更通知。</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（八）违规处理方式</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托管人发现基金管理人违反《基金法》、《基金合同》、《运作办法》及其他有关规定从基金财产中列支费用时，基金托管人可要求基金管理人予以说明解释，如基金管理人无正当理由，基金托管人可拒绝支付，但应及时通知基金管理人。</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（九）实施侧袋机制期间的基金费用</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本基金实施侧袋机制的，与侧袋账户有关的费用可以从侧袋账户中列支，但应待侧袋账户资产变现后方可列支，有关费用可酌情收取或减免，但不得收取管理费，详见招募说明书的规定或相关公告。</w:t>
      </w:r>
    </w:p>
    <w:p>
      <w:pPr>
        <w:adjustRightInd w:val="0"/>
        <w:snapToGrid w:val="0"/>
        <w:rPr>
          <w:rFonts w:ascii="彩虹粗仿宋" w:hAnsi="宋体" w:eastAsia="彩虹粗仿宋" w:cs="Arial"/>
          <w:sz w:val="24"/>
        </w:rPr>
      </w:pPr>
    </w:p>
    <w:p>
      <w:pPr>
        <w:pStyle w:val="2"/>
        <w:jc w:val="center"/>
        <w:rPr>
          <w:rFonts w:ascii="彩虹粗仿宋" w:eastAsia="彩虹粗仿宋"/>
          <w:sz w:val="30"/>
        </w:rPr>
      </w:pPr>
      <w:bookmarkStart w:id="89" w:name="_Toc124325896"/>
      <w:r>
        <w:rPr>
          <w:rFonts w:hint="eastAsia" w:ascii="彩虹粗仿宋" w:eastAsia="彩虹粗仿宋"/>
          <w:sz w:val="30"/>
        </w:rPr>
        <w:t>十二、基金份额持有人名册的保管</w:t>
      </w:r>
      <w:bookmarkEnd w:id="89"/>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限不少于法律法规的规定。如不能妥善保管，则按相关法规承担责任。</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在基金托管人要求或编制中期报告和年度报告前，基金管理人应将有关资料送交基金托管人，不得无故拒绝或延误提供，并保证其真实性、准确性和完整性。</w:t>
      </w:r>
      <w:r>
        <w:rPr>
          <w:rFonts w:hint="eastAsia" w:ascii="彩虹粗仿宋" w:hAnsi="宋体" w:eastAsia="彩虹粗仿宋"/>
          <w:kern w:val="0"/>
          <w:sz w:val="24"/>
        </w:rPr>
        <w:t>基金托管人不得将所保管的基金份额持有人名册用于基金托管业务以外的其他用途，并应遵守保密义务</w:t>
      </w:r>
      <w:r>
        <w:rPr>
          <w:rFonts w:ascii="彩虹粗仿宋" w:hAnsi="宋体" w:eastAsia="彩虹粗仿宋"/>
          <w:kern w:val="0"/>
          <w:sz w:val="24"/>
        </w:rPr>
        <w:t>，法律法规或监管部门另有规定的除外</w:t>
      </w:r>
      <w:r>
        <w:rPr>
          <w:rFonts w:hint="eastAsia" w:ascii="彩虹粗仿宋" w:hAnsi="宋体" w:eastAsia="彩虹粗仿宋"/>
          <w:kern w:val="0"/>
          <w:sz w:val="24"/>
        </w:rPr>
        <w:t>。</w:t>
      </w:r>
    </w:p>
    <w:p>
      <w:pPr>
        <w:adjustRightInd w:val="0"/>
        <w:snapToGrid w:val="0"/>
        <w:rPr>
          <w:rFonts w:ascii="彩虹粗仿宋" w:hAnsi="宋体" w:eastAsia="彩虹粗仿宋" w:cs="Arial"/>
          <w:sz w:val="24"/>
        </w:rPr>
      </w:pPr>
    </w:p>
    <w:p>
      <w:pPr>
        <w:pStyle w:val="2"/>
        <w:jc w:val="center"/>
        <w:rPr>
          <w:rFonts w:ascii="彩虹粗仿宋" w:eastAsia="彩虹粗仿宋"/>
          <w:sz w:val="30"/>
        </w:rPr>
      </w:pPr>
      <w:bookmarkStart w:id="90" w:name="_Toc124325897"/>
      <w:r>
        <w:rPr>
          <w:rFonts w:hint="eastAsia" w:ascii="彩虹粗仿宋" w:eastAsia="彩虹粗仿宋"/>
          <w:sz w:val="30"/>
        </w:rPr>
        <w:t>十三、基金有关文件档案的保存</w:t>
      </w:r>
      <w:bookmarkEnd w:id="90"/>
    </w:p>
    <w:p>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（一）档案保存</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管理人应保存基金财产管理业务活动的记录、账册、报表和其他相关资料。基金托管人应保存基金托管业务活动的记录、账册、报表和其他相关资料。基金管理人和基金托管人都应当按规定保管。保存期限不少于法律法规的规定。</w:t>
      </w:r>
    </w:p>
    <w:p>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（二）合同档案的建立</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1.基金管理人签署重大合同文本后，应及时将合同文本正本送达基金托管人处。</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2.基金管理人应及时将与本基金账务处理、资金划拨等有关的合同、协议传真基金托管人。</w:t>
      </w:r>
    </w:p>
    <w:p>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（三）变更与协助</w:t>
      </w:r>
    </w:p>
    <w:p>
      <w:pPr>
        <w:adjustRightInd w:val="0"/>
        <w:snapToGrid w:val="0"/>
        <w:ind w:firstLine="480" w:firstLineChars="200"/>
        <w:rPr>
          <w:rFonts w:ascii="彩虹粗仿宋" w:eastAsia="彩虹粗仿宋"/>
          <w:b/>
          <w:bCs/>
          <w:sz w:val="30"/>
          <w:szCs w:val="30"/>
        </w:rPr>
      </w:pPr>
      <w:r>
        <w:rPr>
          <w:rFonts w:hint="eastAsia" w:ascii="彩虹粗仿宋" w:hAnsi="宋体" w:eastAsia="彩虹粗仿宋" w:cs="Arial"/>
          <w:sz w:val="24"/>
        </w:rPr>
        <w:t>若基金管理人/基金托管人发生变更，未变更的一方有义务协助变更后的接任人接收相应文件。</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（四）基金管理人和基金托管人应按各自职责完整保存原始凭证、记账凭证、基金账册、交易记录和重要合同等，承担保密义务并保存，保存期限不少于法律法规的规定。</w:t>
      </w:r>
    </w:p>
    <w:p>
      <w:pPr>
        <w:adjustRightInd w:val="0"/>
        <w:snapToGrid w:val="0"/>
        <w:rPr>
          <w:rFonts w:ascii="彩虹粗仿宋" w:eastAsia="彩虹粗仿宋"/>
          <w:sz w:val="30"/>
          <w:szCs w:val="30"/>
        </w:rPr>
      </w:pPr>
    </w:p>
    <w:p>
      <w:pPr>
        <w:pStyle w:val="2"/>
        <w:jc w:val="center"/>
        <w:rPr>
          <w:rFonts w:ascii="彩虹粗仿宋" w:eastAsia="彩虹粗仿宋"/>
          <w:sz w:val="30"/>
        </w:rPr>
      </w:pPr>
      <w:bookmarkStart w:id="91" w:name="_Toc124325898"/>
      <w:r>
        <w:rPr>
          <w:rFonts w:hint="eastAsia" w:ascii="彩虹粗仿宋" w:eastAsia="彩虹粗仿宋"/>
          <w:sz w:val="30"/>
        </w:rPr>
        <w:t>十四、基金管理人和基金托管人的更换</w:t>
      </w:r>
      <w:bookmarkEnd w:id="91"/>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（一）基金管理人职责终止的情形</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1.基金管理人职责终止的情形</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有下列情形之一的，基金管理人职责终止：</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(1)被依法取消基金管理资格；</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(2)被基金份额持有人大会解任；</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(3)依法解散、被依法撤销或被依法宣告破产；</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(4)法律法规及中国证监会规定的和《基金合同》约定的其他情形。</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2.基金管理人的更换程序</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w:t>
      </w:r>
      <w:r>
        <w:rPr>
          <w:rFonts w:ascii="彩虹粗仿宋" w:hAnsi="宋体" w:eastAsia="彩虹粗仿宋" w:cs="Arial"/>
          <w:sz w:val="24"/>
        </w:rPr>
        <w:t>1)</w:t>
      </w:r>
      <w:r>
        <w:rPr>
          <w:rFonts w:hint="eastAsia" w:ascii="彩虹粗仿宋" w:hAnsi="宋体" w:eastAsia="彩虹粗仿宋" w:cs="Arial"/>
          <w:sz w:val="24"/>
        </w:rPr>
        <w:t>提名：新任基金管理人由基金托管人或由单独或合计持有10%以上（含10%）基金份额的基金份额持有人提名；</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(2)</w:t>
      </w:r>
      <w:r>
        <w:rPr>
          <w:rFonts w:hint="eastAsia" w:ascii="彩虹粗仿宋" w:hAnsi="宋体" w:eastAsia="彩虹粗仿宋" w:cs="Arial"/>
          <w:sz w:val="24"/>
        </w:rPr>
        <w:t>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(3)</w:t>
      </w:r>
      <w:r>
        <w:rPr>
          <w:rFonts w:hint="eastAsia" w:ascii="彩虹粗仿宋" w:hAnsi="宋体" w:eastAsia="彩虹粗仿宋" w:cs="Arial"/>
          <w:sz w:val="24"/>
        </w:rPr>
        <w:t>临时基金管理人：新任基金管理人产生之前，由中国证监会指定临时基金管理人；</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(4)</w:t>
      </w:r>
      <w:r>
        <w:rPr>
          <w:rFonts w:hint="eastAsia" w:ascii="彩虹粗仿宋" w:hAnsi="宋体" w:eastAsia="彩虹粗仿宋" w:cs="Arial"/>
          <w:sz w:val="24"/>
        </w:rPr>
        <w:t>备案：基金份额持有人大会更换基金管理人的决议须报中国证监会备案；</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(5)</w:t>
      </w:r>
      <w:r>
        <w:rPr>
          <w:rFonts w:hint="eastAsia" w:ascii="彩虹粗仿宋" w:hAnsi="宋体" w:eastAsia="彩虹粗仿宋" w:cs="Arial"/>
          <w:sz w:val="24"/>
        </w:rPr>
        <w:t>公告：基金管理人更换后，由基金托管人在更换基金管理人的基金份额持有人大会决议生效后2日内在规定媒介公告；</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(6)</w:t>
      </w:r>
      <w:r>
        <w:rPr>
          <w:rFonts w:hint="eastAsia" w:ascii="彩虹粗仿宋" w:hAnsi="宋体" w:eastAsia="彩虹粗仿宋" w:cs="Arial"/>
          <w:sz w:val="24"/>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基金资产净值；</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(7)</w:t>
      </w:r>
      <w:r>
        <w:rPr>
          <w:rFonts w:hint="eastAsia" w:ascii="彩虹粗仿宋" w:hAnsi="宋体" w:eastAsia="彩虹粗仿宋" w:cs="Arial"/>
          <w:sz w:val="24"/>
        </w:rPr>
        <w:t>审计：基金管理人职责终止的，应当按照法律法规规定聘请会计师事务所对基金财产进行审计，并将审计结果予以公告，同时报中国证监会备案，审计费用从基金财产中列支；</w:t>
      </w:r>
    </w:p>
    <w:p>
      <w:pPr>
        <w:adjustRightInd w:val="0"/>
        <w:snapToGrid w:val="0"/>
        <w:ind w:firstLine="480" w:firstLineChars="200"/>
        <w:rPr>
          <w:rFonts w:ascii="彩虹粗仿宋" w:eastAsia="彩虹粗仿宋"/>
          <w:sz w:val="30"/>
          <w:szCs w:val="30"/>
        </w:rPr>
      </w:pPr>
      <w:r>
        <w:rPr>
          <w:rFonts w:ascii="彩虹粗仿宋" w:hAnsi="宋体" w:eastAsia="彩虹粗仿宋" w:cs="Arial"/>
          <w:sz w:val="24"/>
        </w:rPr>
        <w:t>(8)</w:t>
      </w:r>
      <w:r>
        <w:rPr>
          <w:rFonts w:hint="eastAsia" w:ascii="彩虹粗仿宋" w:hAnsi="宋体" w:eastAsia="彩虹粗仿宋" w:cs="Arial"/>
          <w:sz w:val="24"/>
        </w:rPr>
        <w:t>基金名称变更：基金管理人更换后，如果原任或新任基金管理人要求，应按其要求替换或删除基金名称中与原任基金管理人有关的名称字样。</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（二）基金托管人职责终止的情形</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1.基金托管人职责终止的情形</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有下列情形之一的，基金托管人职责终止：</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(1)被依法取消基金托管资格；</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(2)被基金份额持有人大会解任；</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(3)依法解散、被依法撤销或被依法宣告破产；</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(4)法律法规及中国证监会规定的和《基金合同》约定的其他情形。</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2.基金托管人的更换程序</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(1)提名：新任基金托管人由基金管理人或由单独或合计持有10%以上（含10%）基金份额的基金份额持有人提名；</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(2)</w:t>
      </w:r>
      <w:r>
        <w:rPr>
          <w:rFonts w:hint="eastAsia" w:ascii="彩虹粗仿宋" w:hAnsi="宋体" w:eastAsia="彩虹粗仿宋" w:cs="Arial"/>
          <w:sz w:val="24"/>
        </w:rPr>
        <w:t>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(3)</w:t>
      </w:r>
      <w:r>
        <w:rPr>
          <w:rFonts w:hint="eastAsia" w:ascii="彩虹粗仿宋" w:hAnsi="宋体" w:eastAsia="彩虹粗仿宋" w:cs="Arial"/>
          <w:sz w:val="24"/>
        </w:rPr>
        <w:t>临时基金托管人：新任基金托管人产生之前，由中国证监会指定临时基金托管人；</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(4)</w:t>
      </w:r>
      <w:r>
        <w:rPr>
          <w:rFonts w:hint="eastAsia" w:ascii="彩虹粗仿宋" w:hAnsi="宋体" w:eastAsia="彩虹粗仿宋" w:cs="Arial"/>
          <w:sz w:val="24"/>
        </w:rPr>
        <w:t>备案：基金份额持有人大会更换基金托管人的决议须报中国证监会备案；</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(5)</w:t>
      </w:r>
      <w:r>
        <w:rPr>
          <w:rFonts w:hint="eastAsia" w:ascii="彩虹粗仿宋" w:hAnsi="宋体" w:eastAsia="彩虹粗仿宋" w:cs="Arial"/>
          <w:sz w:val="24"/>
        </w:rPr>
        <w:t>公告：基金托管人更换后，由基金管理人在更换基金托管人的基金份额持有人大会决议生效后2日内在规定媒介公告；</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(6)</w:t>
      </w:r>
      <w:r>
        <w:rPr>
          <w:rFonts w:hint="eastAsia" w:ascii="彩虹粗仿宋" w:hAnsi="宋体" w:eastAsia="彩虹粗仿宋" w:cs="Arial"/>
          <w:sz w:val="24"/>
        </w:rPr>
        <w:t>交接：基金托管人职责终止的，应当妥善保管基金财产和基金托管业务资料，及时办理基金财产和基金托管业务的移交手续，临时基金托管人或者新任基金托管人应当及时接收。临时基金托管人或者新任基金托管人与基金管理人核对基金资产总值和基金资产净值；</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(7)</w:t>
      </w:r>
      <w:r>
        <w:rPr>
          <w:rFonts w:hint="eastAsia" w:ascii="彩虹粗仿宋" w:hAnsi="宋体" w:eastAsia="彩虹粗仿宋" w:cs="Arial"/>
          <w:sz w:val="24"/>
        </w:rPr>
        <w:t>审计：基金托管人职责终止的，应当按照法律法规规定聘请会计师事务所对基金财产进行审计，并将审计结果予以公告，同时报中国证监会备案，审计费用从基金财产中列支。</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（三）基金管理人与基金托管人同时更换的条件和程序</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1.提名：如果基金管理人和基金托管人同时更换，由单独或合计持有基金总份额10%以上(含10%)的基金份额持有人提名新的基金管理人和基金托管人；</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2.基金管理人和基金托管人的更换分别按上述程序进行；</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3.公告：新任基金管理人和新任基金托管人应在更换基金管理人和基金托管人的基金份额持有人大会决议生效后2日内在规定媒介上联合公告。</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四）临时基金管理人或新任基金管理人接收基金管理业务或临时基金托管人或新任基金托管人接收基金财产和基金托管业务前，原任基金管理人或原任基金托管人应依据法律法规和《基金合同》的规定继续履行相关职责，并保证不对基金份额持有人的利益造成损害。原任基金管理人或原任基金托管人在继续履行相关职责期间，仍有权按照《基金合同》的规定收取基金管理费</w:t>
      </w:r>
      <w:r>
        <w:rPr>
          <w:rFonts w:ascii="彩虹粗仿宋" w:hAnsi="宋体" w:eastAsia="彩虹粗仿宋" w:cs="Arial"/>
          <w:sz w:val="24"/>
        </w:rPr>
        <w:t>（包括固定管理费、或有管理费和超额管理费）</w:t>
      </w:r>
      <w:r>
        <w:rPr>
          <w:rFonts w:hint="eastAsia" w:ascii="彩虹粗仿宋" w:hAnsi="宋体" w:eastAsia="彩虹粗仿宋" w:cs="Arial"/>
          <w:sz w:val="24"/>
        </w:rPr>
        <w:t>或基金托管费。</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五）本部分关于基金管理人、基金托管人更换条件和程序的约定，凡是直接引用法律法规或监管规则的部分，如法律法规或监管规则修改导致相关内容被取消或变更的，基金管理人与基金托管人协商一致并公告后，可直接对相应内容进行修改和调整，无需召开基金份额持有人大会审议。</w:t>
      </w:r>
    </w:p>
    <w:p>
      <w:pPr>
        <w:adjustRightInd w:val="0"/>
        <w:snapToGrid w:val="0"/>
        <w:rPr>
          <w:rFonts w:ascii="彩虹粗仿宋" w:hAnsi="宋体" w:eastAsia="彩虹粗仿宋" w:cs="Arial"/>
          <w:sz w:val="24"/>
        </w:rPr>
      </w:pPr>
    </w:p>
    <w:p>
      <w:pPr>
        <w:pStyle w:val="2"/>
        <w:jc w:val="center"/>
        <w:rPr>
          <w:rFonts w:ascii="彩虹粗仿宋" w:eastAsia="彩虹粗仿宋"/>
          <w:sz w:val="30"/>
        </w:rPr>
      </w:pPr>
      <w:bookmarkStart w:id="92" w:name="_Toc124325899"/>
      <w:r>
        <w:rPr>
          <w:rFonts w:hint="eastAsia" w:ascii="彩虹粗仿宋" w:eastAsia="彩虹粗仿宋"/>
          <w:sz w:val="30"/>
        </w:rPr>
        <w:t>十五、禁止行为</w:t>
      </w:r>
      <w:bookmarkEnd w:id="92"/>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本协议当事人禁止从事的行为，包括但不限于：</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（一）基金管理人、基金托管人将其固有财产或者他人财产混同于基金财产从事证券投资。</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（二）基金管理人不公平地对待其管理的不同基金财产，基金托管人不公平地对待其托管的不同基金财产。</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（三）基金管理人、基金托管人利用基金财产或职务之便为基金份额持有人以外的第三人牟取利益。</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（四）基金管理人、基金托管人向基金份额持有人违规承诺收益或者承担损失。</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（五）基金管理人、基金托管人对他人泄露基金运作和管理过程中任何尚未按法律法规规定的方式公开披露的信息。</w:t>
      </w:r>
    </w:p>
    <w:p>
      <w:pPr>
        <w:adjustRightInd w:val="0"/>
        <w:snapToGrid w:val="0"/>
        <w:ind w:firstLine="480" w:firstLineChars="200"/>
        <w:outlineLvl w:val="0"/>
        <w:rPr>
          <w:rFonts w:ascii="彩虹粗仿宋" w:hAnsi="宋体" w:eastAsia="彩虹粗仿宋" w:cs="Arial"/>
        </w:rPr>
      </w:pPr>
      <w:r>
        <w:rPr>
          <w:rFonts w:hint="eastAsia" w:ascii="彩虹粗仿宋" w:hAnsi="宋体" w:eastAsia="彩虹粗仿宋" w:cs="Arial"/>
          <w:sz w:val="24"/>
        </w:rPr>
        <w:t>（六）基金管理人在没有充足资金的情况下向基金托管人发出投资指令和赎回、分红资金的划拨指令，或违规向基金托管人发出指令。</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（七）基金管理人、基金托管人在行政上、财务上不独立，其高级管理人员和其他从业人员相互兼职。</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（八）基金托管人私自动用或处分基金财产，根据基金管理人的合法指令、《基金合同》或托管协议的规定进行处分的除外。</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（九）基金财产用于下列投资或者活动：</w:t>
      </w:r>
      <w:r>
        <w:rPr>
          <w:rFonts w:ascii="彩虹粗仿宋" w:hAnsi="宋体" w:eastAsia="彩虹粗仿宋" w:cs="Arial"/>
          <w:sz w:val="24"/>
        </w:rPr>
        <w:t>1.</w:t>
      </w:r>
      <w:r>
        <w:rPr>
          <w:rFonts w:hint="eastAsia" w:ascii="彩虹粗仿宋" w:hAnsi="宋体" w:eastAsia="彩虹粗仿宋" w:cs="Arial"/>
          <w:sz w:val="24"/>
        </w:rPr>
        <w:t>承销证券；</w:t>
      </w:r>
      <w:r>
        <w:rPr>
          <w:rFonts w:ascii="彩虹粗仿宋" w:hAnsi="宋体" w:eastAsia="彩虹粗仿宋" w:cs="Arial"/>
          <w:sz w:val="24"/>
        </w:rPr>
        <w:t>2.</w:t>
      </w:r>
      <w:r>
        <w:rPr>
          <w:rFonts w:hint="eastAsia" w:ascii="彩虹粗仿宋" w:hAnsi="宋体" w:eastAsia="彩虹粗仿宋" w:cs="Arial"/>
          <w:sz w:val="24"/>
        </w:rPr>
        <w:t>违反规定向他人贷款或者提供担保；</w:t>
      </w:r>
      <w:r>
        <w:rPr>
          <w:rFonts w:ascii="彩虹粗仿宋" w:hAnsi="宋体" w:eastAsia="彩虹粗仿宋" w:cs="Arial"/>
          <w:sz w:val="24"/>
        </w:rPr>
        <w:t>3.</w:t>
      </w:r>
      <w:r>
        <w:rPr>
          <w:rFonts w:hint="eastAsia" w:ascii="彩虹粗仿宋" w:hAnsi="宋体" w:eastAsia="彩虹粗仿宋" w:cs="Arial"/>
          <w:sz w:val="24"/>
        </w:rPr>
        <w:t>从事承担无限责任的投资；</w:t>
      </w:r>
      <w:r>
        <w:rPr>
          <w:rFonts w:ascii="彩虹粗仿宋" w:hAnsi="宋体" w:eastAsia="彩虹粗仿宋" w:cs="Arial"/>
          <w:sz w:val="24"/>
        </w:rPr>
        <w:t>4.</w:t>
      </w:r>
      <w:r>
        <w:rPr>
          <w:rFonts w:hint="eastAsia" w:ascii="彩虹粗仿宋" w:hAnsi="宋体" w:eastAsia="彩虹粗仿宋" w:cs="Arial"/>
          <w:sz w:val="24"/>
        </w:rPr>
        <w:t>买卖其他基金份额，但是中国证监会另有规定的除外；</w:t>
      </w:r>
      <w:r>
        <w:rPr>
          <w:rFonts w:ascii="彩虹粗仿宋" w:hAnsi="宋体" w:eastAsia="彩虹粗仿宋" w:cs="Arial"/>
          <w:sz w:val="24"/>
        </w:rPr>
        <w:t>5.</w:t>
      </w:r>
      <w:r>
        <w:rPr>
          <w:rFonts w:hint="eastAsia" w:ascii="彩虹粗仿宋" w:hAnsi="宋体" w:eastAsia="彩虹粗仿宋" w:cs="Arial"/>
          <w:sz w:val="24"/>
        </w:rPr>
        <w:t>向其基金管理人、基金托管人出资；</w:t>
      </w:r>
      <w:r>
        <w:rPr>
          <w:rFonts w:ascii="彩虹粗仿宋" w:hAnsi="宋体" w:eastAsia="彩虹粗仿宋" w:cs="Arial"/>
          <w:sz w:val="24"/>
        </w:rPr>
        <w:t>6.</w:t>
      </w:r>
      <w:r>
        <w:rPr>
          <w:rFonts w:hint="eastAsia" w:ascii="彩虹粗仿宋" w:hAnsi="宋体" w:eastAsia="彩虹粗仿宋" w:cs="Arial"/>
          <w:sz w:val="24"/>
        </w:rPr>
        <w:t>从事内幕交易、操纵证券交易价格及其他不正当的证券交易活动；</w:t>
      </w:r>
      <w:r>
        <w:rPr>
          <w:rFonts w:ascii="彩虹粗仿宋" w:hAnsi="宋体" w:eastAsia="彩虹粗仿宋" w:cs="Arial"/>
          <w:sz w:val="24"/>
        </w:rPr>
        <w:t>7.</w:t>
      </w:r>
      <w:r>
        <w:rPr>
          <w:rFonts w:hint="eastAsia" w:ascii="彩虹粗仿宋" w:hAnsi="宋体" w:eastAsia="彩虹粗仿宋" w:cs="Arial"/>
          <w:sz w:val="24"/>
        </w:rPr>
        <w:t>法律、行政法规和中国证监会规定禁止的其他活动。</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法律法规或监管部门取消或调整上述限制，如适用于本基金，基金管理人在履行适当程序后，则本基金投资不再受相关限制或按调整后的规定执行。</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（十）法律法规和《基金合同》禁止的其他行为，以及依照法律、行政法规有关规定，由中国证监会规定禁止基金管理人、基金托管人从事的其他行为。</w:t>
      </w:r>
    </w:p>
    <w:p>
      <w:pPr>
        <w:adjustRightInd w:val="0"/>
        <w:snapToGrid w:val="0"/>
        <w:rPr>
          <w:rFonts w:ascii="彩虹粗仿宋" w:eastAsia="彩虹粗仿宋"/>
          <w:sz w:val="30"/>
          <w:szCs w:val="30"/>
        </w:rPr>
      </w:pPr>
    </w:p>
    <w:p>
      <w:pPr>
        <w:pStyle w:val="2"/>
        <w:jc w:val="center"/>
        <w:rPr>
          <w:rFonts w:ascii="彩虹粗仿宋" w:eastAsia="彩虹粗仿宋"/>
          <w:sz w:val="30"/>
        </w:rPr>
      </w:pPr>
      <w:bookmarkStart w:id="93" w:name="_Toc124325900"/>
      <w:r>
        <w:rPr>
          <w:rFonts w:hint="eastAsia" w:ascii="彩虹粗仿宋" w:eastAsia="彩虹粗仿宋"/>
          <w:sz w:val="30"/>
        </w:rPr>
        <w:t>十六、托管协议的变更、终止与基金财产的清算</w:t>
      </w:r>
      <w:bookmarkEnd w:id="93"/>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（一）托管协议的变更程序</w:t>
      </w:r>
    </w:p>
    <w:p>
      <w:pPr>
        <w:adjustRightInd w:val="0"/>
        <w:snapToGrid w:val="0"/>
        <w:ind w:firstLine="480" w:firstLineChars="200"/>
        <w:rPr>
          <w:rFonts w:ascii="彩虹粗仿宋" w:eastAsia="彩虹粗仿宋"/>
          <w:sz w:val="30"/>
          <w:szCs w:val="30"/>
        </w:rPr>
      </w:pPr>
      <w:r>
        <w:rPr>
          <w:rFonts w:hint="eastAsia" w:ascii="彩虹粗仿宋" w:hAnsi="宋体" w:eastAsia="彩虹粗仿宋" w:cs="Arial"/>
          <w:sz w:val="24"/>
        </w:rPr>
        <w:t>本协议双方当事人经协商一致，可以对协议进行修改。修改后的新协议，其内容不得与《基金合同》的规定有任何冲突。</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（二）托管协议终止的情形</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1.《基金合同》终止；</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2.基金托管人解散、依法被撤销、破产或由其他基金托管人接管基金资产；</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3.基金管理人解散、依法被撤销、破产或由其他基金管理人接管基金管理权；</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4.发生法律法规或《基金合同》规定的终止事项。</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（三）基金财产的清算</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1.基金财产清算小组：自出现《基金合同》终止事由之日起30个工作日内成立基金财产清算小组，基金管理人组织基金财产清算小组并在中国证监会的监督下进行基金清算。</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2.基金财产清算小组组成：基金财产清算小组成员由基金管理人、基金托管人、注册会计师、律师以及中国证监会指定的人员组成。基金财产清算小组可以聘用必要的工作人员。</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3.基金财产清算小组职责：基金财产清算小组负责基金财产的保管、清理、估价、变现和分配。基金财产清算小组可以依法进行必要的民事活动。</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4.基金财产清算程序：</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(1)《基金合同》终止情形出现且基金财产清算小组成立后，由基金财产清算小组统一接管基金；</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(2)对基金财产和债权债务进行清理和确认；</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(3)对基金财产进行估值和变现；</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(4)制作清算报告；</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(5)聘请会计师事务所对清算报告进行外部审计，聘请律师事务所对清算报告出具法律意见书；</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(6)将清算报告报中国证监会备案并公告；</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(7)对基金剩余财产进行分配。</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5.基金财产清算的期限为6个月，但因本基金所持证券的流动性受到限制而不能及时变现的，清算期限相应顺延。</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6.清算费用</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清算费用是指基金财产清算小组在进行基金财产清算过程中发生的所有合理费用，清算费用由基金财产清算小组优先从基金剩余财产中支付。</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7.基金财产清算剩余资产的分配</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依据基金财产清算的分配方案，将基金财产清算后的全部剩余资产扣除基金财产清算费用、交纳所欠税款并清偿基金债务后，按基金份额持有人持有的基金份额比例进行分配</w:t>
      </w:r>
      <w:r>
        <w:rPr>
          <w:rFonts w:hint="eastAsia" w:ascii="彩虹粗仿宋" w:hAnsi="宋体" w:eastAsia="彩虹粗仿宋" w:cs="Arial"/>
          <w:bCs/>
          <w:sz w:val="24"/>
        </w:rPr>
        <w:t>，并加上或扣除相应的费用</w:t>
      </w:r>
      <w:bookmarkStart w:id="94" w:name="_Hlk194579972"/>
      <w:r>
        <w:rPr>
          <w:rFonts w:hint="eastAsia" w:ascii="彩虹粗仿宋" w:hAnsi="宋体" w:eastAsia="彩虹粗仿宋" w:cs="Arial"/>
          <w:bCs/>
          <w:sz w:val="24"/>
        </w:rPr>
        <w:t>（如涉及对应的或有管理费、超额管理费）</w:t>
      </w:r>
      <w:bookmarkEnd w:id="94"/>
      <w:r>
        <w:rPr>
          <w:rFonts w:hint="eastAsia" w:ascii="彩虹粗仿宋" w:hAnsi="宋体" w:eastAsia="彩虹粗仿宋" w:cs="Arial"/>
          <w:sz w:val="24"/>
        </w:rPr>
        <w:t>。</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8.基金财产清算的公告</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清算过程中的有关重大事项须及时公告；基金财产清算报告经符合《中华人民共和国证券法》规定的会计师事务所审计并由律师事务所出具法律意见书后报中国证监会备案并公告。基金财产清算报告于基金财产清算报告报中国证监会备案后5个工作日内由基金财产清算小组进行公告，基金财产清算小组应当将清算报告登载在规定网站上，并将清算报告提示性公告登载在规定报刊上。</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9.基金财产清算账册及文件的保存</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基金财产清算账册及有关文件由基金托管人保存，保存期限不少于法律法规的规定。</w:t>
      </w:r>
    </w:p>
    <w:p>
      <w:pPr>
        <w:adjustRightInd w:val="0"/>
        <w:snapToGrid w:val="0"/>
        <w:rPr>
          <w:rFonts w:ascii="彩虹粗仿宋" w:hAnsi="宋体" w:eastAsia="彩虹粗仿宋" w:cs="Arial"/>
          <w:sz w:val="24"/>
        </w:rPr>
      </w:pPr>
    </w:p>
    <w:p>
      <w:pPr>
        <w:pStyle w:val="2"/>
        <w:jc w:val="center"/>
        <w:rPr>
          <w:rFonts w:ascii="彩虹粗仿宋" w:eastAsia="彩虹粗仿宋"/>
          <w:sz w:val="30"/>
        </w:rPr>
      </w:pPr>
      <w:bookmarkStart w:id="95" w:name="_Toc124325901"/>
      <w:r>
        <w:rPr>
          <w:rFonts w:hint="eastAsia" w:ascii="彩虹粗仿宋" w:eastAsia="彩虹粗仿宋"/>
          <w:sz w:val="30"/>
        </w:rPr>
        <w:t>十七、违约责任</w:t>
      </w:r>
      <w:bookmarkEnd w:id="95"/>
    </w:p>
    <w:p>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（一）基金管理人、基金托管人不履行本协议或履行本协议不符合约定的，应当承担违约责任。</w:t>
      </w:r>
    </w:p>
    <w:p>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w:t>
      </w:r>
    </w:p>
    <w:p>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1.不可抗力；</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2.基金管理人和/或基金托管人按照当时有效的法律法规或中国证监会的规定作为或不作为而造成的损失等；</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3.在没有过错的情况下，基金管理人由于按照《基金合同》规定的投资原则投资或不投资造成的直接损失或潜在损失等。</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4.非因基金管理人、基金托管人的故意或重大过失造成的计算机系统故障、网络故障、通讯故障、电力故障、计算机病毒攻击及其它意外事故所导致的损失等。</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（五）违约行为虽已发生，但本托管协议能够继续履行的，在最大限度地保护基金份额持有人利益的前提下，基金管理人和基金托管人应当继续履行本协议。</w:t>
      </w:r>
    </w:p>
    <w:p>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六）由于基金管理人、基金托管人不可控制的因素导致业务出现差错，基金管理人和基金托管人虽然已经采取必要、适当、合理的措施进行检查，但是未能发现错误或虽发现错误但是因为前述原因无法更正的，由此造成基金财产或投资人损失，基金管理人和基金托管人免除赔偿责任。但是基金管理人和基金托管人应积极采取必要的措施减轻或消除由此造成的影响。</w:t>
      </w:r>
    </w:p>
    <w:p>
      <w:pPr>
        <w:adjustRightInd w:val="0"/>
        <w:snapToGrid w:val="0"/>
        <w:outlineLvl w:val="0"/>
        <w:rPr>
          <w:rFonts w:ascii="彩虹粗仿宋" w:hAnsi="宋体" w:eastAsia="彩虹粗仿宋" w:cs="Arial"/>
          <w:sz w:val="24"/>
        </w:rPr>
      </w:pPr>
    </w:p>
    <w:p>
      <w:pPr>
        <w:pStyle w:val="2"/>
        <w:jc w:val="center"/>
        <w:rPr>
          <w:rFonts w:ascii="彩虹粗仿宋" w:eastAsia="彩虹粗仿宋"/>
          <w:sz w:val="30"/>
        </w:rPr>
      </w:pPr>
      <w:bookmarkStart w:id="96" w:name="_Toc124325902"/>
      <w:r>
        <w:rPr>
          <w:rFonts w:hint="eastAsia" w:ascii="彩虹粗仿宋" w:eastAsia="彩虹粗仿宋"/>
          <w:sz w:val="30"/>
        </w:rPr>
        <w:t>十八、争议解决方式</w:t>
      </w:r>
      <w:bookmarkEnd w:id="96"/>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因本协议产生或与之相关的争议，双方当事人应通过协商、调解解决，协商、调解不能解决的，</w:t>
      </w:r>
      <w:r>
        <w:rPr>
          <w:rFonts w:hint="eastAsia" w:ascii="彩虹粗仿宋" w:hAnsi="宋体" w:eastAsia="彩虹粗仿宋" w:cs="Arial"/>
          <w:sz w:val="24"/>
        </w:rPr>
        <w:t>双方均</w:t>
      </w:r>
      <w:r>
        <w:rPr>
          <w:rFonts w:ascii="彩虹粗仿宋" w:hAnsi="宋体" w:eastAsia="彩虹粗仿宋" w:cs="Arial"/>
          <w:sz w:val="24"/>
        </w:rPr>
        <w:t xml:space="preserve">应将争议提交中国国际经济贸易仲裁委员会，仲裁地点为北京市，按照中国国际经济贸易仲裁委员会届时有效的仲裁规则进行仲裁。仲裁裁决是终局的，对当事人均有约束力。除非仲裁裁决另有规定，仲裁费用由败诉方承担。 </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 xml:space="preserve">争议处理期间，双方当事人应恪守基金管理人和基金托管人职责，各自继续忠实、勤勉、尽责地履行《基金合同》和本托管协议规定的义务，维护基金份额持有人的合法权益。 </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本协议受中国法律（为本协议之目的，不包括香港特别行政区、澳门特别行政区和台湾地区法律）管辖</w:t>
      </w:r>
      <w:r>
        <w:rPr>
          <w:rFonts w:hint="eastAsia" w:ascii="彩虹粗仿宋" w:hAnsi="宋体" w:eastAsia="彩虹粗仿宋" w:cs="Arial"/>
          <w:sz w:val="24"/>
        </w:rPr>
        <w:t>并从其解释</w:t>
      </w:r>
      <w:r>
        <w:rPr>
          <w:rFonts w:ascii="彩虹粗仿宋" w:hAnsi="宋体" w:eastAsia="彩虹粗仿宋" w:cs="Arial"/>
          <w:sz w:val="24"/>
        </w:rPr>
        <w:t xml:space="preserve">。 </w:t>
      </w:r>
    </w:p>
    <w:p>
      <w:pPr>
        <w:pStyle w:val="2"/>
        <w:jc w:val="center"/>
        <w:rPr>
          <w:rFonts w:ascii="彩虹粗仿宋" w:eastAsia="彩虹粗仿宋"/>
          <w:sz w:val="30"/>
        </w:rPr>
      </w:pPr>
      <w:bookmarkStart w:id="97" w:name="_Toc124325903"/>
      <w:r>
        <w:rPr>
          <w:rFonts w:hint="eastAsia" w:ascii="彩虹粗仿宋" w:eastAsia="彩虹粗仿宋"/>
          <w:sz w:val="30"/>
        </w:rPr>
        <w:t>十九、托管协议的效力</w:t>
      </w:r>
      <w:bookmarkEnd w:id="97"/>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 xml:space="preserve">双方对托管协议的效力约定如下： </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 xml:space="preserve">（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 </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 xml:space="preserve">（二）托管协议自《基金合同》成立之日起成立，自《基金合同》生效之日起生效。托管协议的有效期自其生效之日起至基金财产清算结果报中国证监会备案并公告之日止。 </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 xml:space="preserve">（三）托管协议自生效之日起对托管协议当事人具有同等的法律约束力。 </w:t>
      </w:r>
    </w:p>
    <w:p>
      <w:pPr>
        <w:adjustRightInd w:val="0"/>
        <w:snapToGrid w:val="0"/>
        <w:ind w:firstLine="480" w:firstLineChars="200"/>
        <w:rPr>
          <w:rFonts w:ascii="彩虹粗仿宋" w:hAnsi="宋体" w:eastAsia="彩虹粗仿宋" w:cs="Arial"/>
          <w:sz w:val="24"/>
        </w:rPr>
      </w:pPr>
      <w:r>
        <w:rPr>
          <w:rFonts w:ascii="彩虹粗仿宋" w:hAnsi="宋体" w:eastAsia="彩虹粗仿宋" w:cs="Arial"/>
          <w:sz w:val="24"/>
        </w:rPr>
        <w:t xml:space="preserve">（四）本协议一式叁份，协议双方各一份，上报监管机构一份，每份具有同等的法律效力。 </w:t>
      </w:r>
    </w:p>
    <w:p>
      <w:pPr>
        <w:pStyle w:val="2"/>
        <w:jc w:val="center"/>
        <w:rPr>
          <w:rFonts w:ascii="彩虹粗仿宋" w:eastAsia="彩虹粗仿宋"/>
          <w:sz w:val="30"/>
        </w:rPr>
      </w:pPr>
      <w:bookmarkStart w:id="98" w:name="_Toc124325904"/>
      <w:r>
        <w:rPr>
          <w:rFonts w:hint="eastAsia" w:ascii="彩虹粗仿宋" w:eastAsia="彩虹粗仿宋"/>
          <w:sz w:val="30"/>
        </w:rPr>
        <w:t>二十、其他事项</w:t>
      </w:r>
      <w:bookmarkEnd w:id="98"/>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如发生有权司法机关依法冻结基金份额持有人的基金份额时，基金管理人应予以配合，承担司法协助义务。</w:t>
      </w:r>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除本协议有明确定义外，本协议的用语定义适用《基金合同》的约定。本协议未尽事宜，当事人依据《基金合同》、有关法律法规等规定协商办理。</w:t>
      </w:r>
    </w:p>
    <w:p>
      <w:pPr>
        <w:adjustRightInd w:val="0"/>
        <w:snapToGrid w:val="0"/>
        <w:rPr>
          <w:rFonts w:ascii="彩虹粗仿宋" w:eastAsia="彩虹粗仿宋"/>
          <w:b/>
          <w:bCs/>
        </w:rPr>
      </w:pPr>
    </w:p>
    <w:p>
      <w:pPr>
        <w:pStyle w:val="2"/>
        <w:jc w:val="center"/>
        <w:rPr>
          <w:rFonts w:ascii="彩虹粗仿宋" w:eastAsia="彩虹粗仿宋"/>
          <w:sz w:val="30"/>
        </w:rPr>
      </w:pPr>
      <w:bookmarkStart w:id="99" w:name="_Toc124325905"/>
      <w:r>
        <w:rPr>
          <w:rFonts w:hint="eastAsia" w:ascii="彩虹粗仿宋" w:eastAsia="彩虹粗仿宋"/>
          <w:sz w:val="30"/>
        </w:rPr>
        <w:t>二十一、托管协议的签订</w:t>
      </w:r>
      <w:bookmarkEnd w:id="99"/>
    </w:p>
    <w:p>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本协议双方法定代表人或授权代表签章、签订地、签订日</w:t>
      </w:r>
    </w:p>
    <w:p/>
    <w:p/>
    <w:p/>
    <w:p/>
    <w:sectPr>
      <w:footerReference r:id="rId3" w:type="default"/>
      <w:pgSz w:w="11906" w:h="16838"/>
      <w:pgMar w:top="1418" w:right="1701" w:bottom="1418" w:left="170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方正仿宋简体">
    <w:altName w:val="微软雅黑"/>
    <w:panose1 w:val="00000000000000000000"/>
    <w:charset w:val="00"/>
    <w:family w:val="auto"/>
    <w:pitch w:val="default"/>
    <w:sig w:usb0="00000000" w:usb1="0000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1" w:csb1="00000000"/>
  </w:font>
  <w:font w:name="Courier New">
    <w:panose1 w:val="02070309020205020404"/>
    <w:charset w:val="00"/>
    <w:family w:val="modern"/>
    <w:pitch w:val="default"/>
    <w:sig w:usb0="E0002EFF" w:usb1="C0007843" w:usb2="00000009" w:usb3="00000000" w:csb0="400001FF" w:csb1="FFFF0000"/>
  </w:font>
  <w:font w:name="彩虹粗仿宋">
    <w:panose1 w:val="03000509000000000000"/>
    <w:charset w:val="86"/>
    <w:family w:val="script"/>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8206813"/>
    </w:sdtPr>
    <w:sdtContent>
      <w:p>
        <w:pPr>
          <w:pStyle w:val="13"/>
          <w:jc w:val="center"/>
        </w:pPr>
        <w:r>
          <w:fldChar w:fldCharType="begin"/>
        </w:r>
        <w:r>
          <w:instrText xml:space="preserve">PAGE   \* MERGEFORMAT</w:instrText>
        </w:r>
        <w:r>
          <w:fldChar w:fldCharType="separate"/>
        </w:r>
        <w:r>
          <w:rPr>
            <w:lang w:val="zh-CN"/>
          </w:rPr>
          <w:t>28</w:t>
        </w:r>
        <w:r>
          <w:fldChar w:fldCharType="end"/>
        </w:r>
      </w:p>
    </w:sdtContent>
  </w:sdt>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4C9"/>
    <w:rsid w:val="00000971"/>
    <w:rsid w:val="000010C3"/>
    <w:rsid w:val="0000136F"/>
    <w:rsid w:val="000029FB"/>
    <w:rsid w:val="00004251"/>
    <w:rsid w:val="00007D38"/>
    <w:rsid w:val="00007E92"/>
    <w:rsid w:val="0001549D"/>
    <w:rsid w:val="000176CA"/>
    <w:rsid w:val="00020732"/>
    <w:rsid w:val="000266BD"/>
    <w:rsid w:val="000327DC"/>
    <w:rsid w:val="00034C7A"/>
    <w:rsid w:val="000426E9"/>
    <w:rsid w:val="000427C7"/>
    <w:rsid w:val="00044409"/>
    <w:rsid w:val="000507A7"/>
    <w:rsid w:val="000529FB"/>
    <w:rsid w:val="000541C1"/>
    <w:rsid w:val="000557B1"/>
    <w:rsid w:val="00061797"/>
    <w:rsid w:val="00062BC3"/>
    <w:rsid w:val="00063300"/>
    <w:rsid w:val="00063796"/>
    <w:rsid w:val="00071445"/>
    <w:rsid w:val="00071BB3"/>
    <w:rsid w:val="000741DA"/>
    <w:rsid w:val="00075B39"/>
    <w:rsid w:val="00081E9F"/>
    <w:rsid w:val="00082DD2"/>
    <w:rsid w:val="00086EAA"/>
    <w:rsid w:val="00090345"/>
    <w:rsid w:val="00090DAC"/>
    <w:rsid w:val="00091454"/>
    <w:rsid w:val="0009200D"/>
    <w:rsid w:val="000921E5"/>
    <w:rsid w:val="00092B5E"/>
    <w:rsid w:val="0009497A"/>
    <w:rsid w:val="00096B35"/>
    <w:rsid w:val="00097BE3"/>
    <w:rsid w:val="000A2048"/>
    <w:rsid w:val="000A3D06"/>
    <w:rsid w:val="000A401E"/>
    <w:rsid w:val="000A4B4F"/>
    <w:rsid w:val="000A5DDE"/>
    <w:rsid w:val="000A7674"/>
    <w:rsid w:val="000B02D0"/>
    <w:rsid w:val="000B2C12"/>
    <w:rsid w:val="000B3D9D"/>
    <w:rsid w:val="000B61A0"/>
    <w:rsid w:val="000B7346"/>
    <w:rsid w:val="000B788C"/>
    <w:rsid w:val="000C1538"/>
    <w:rsid w:val="000C2F7E"/>
    <w:rsid w:val="000C3DE9"/>
    <w:rsid w:val="000C5F1D"/>
    <w:rsid w:val="000C6A53"/>
    <w:rsid w:val="000C7CA0"/>
    <w:rsid w:val="000C7DA3"/>
    <w:rsid w:val="000D115F"/>
    <w:rsid w:val="000D27CD"/>
    <w:rsid w:val="000D4979"/>
    <w:rsid w:val="000D4F63"/>
    <w:rsid w:val="000D77A6"/>
    <w:rsid w:val="000E0A5D"/>
    <w:rsid w:val="000E2A48"/>
    <w:rsid w:val="000F04BC"/>
    <w:rsid w:val="000F1D55"/>
    <w:rsid w:val="000F379B"/>
    <w:rsid w:val="000F412A"/>
    <w:rsid w:val="000F6D5D"/>
    <w:rsid w:val="00102B77"/>
    <w:rsid w:val="00104947"/>
    <w:rsid w:val="00105F11"/>
    <w:rsid w:val="00105FDA"/>
    <w:rsid w:val="001133D6"/>
    <w:rsid w:val="00123DE1"/>
    <w:rsid w:val="0012748E"/>
    <w:rsid w:val="00132BAC"/>
    <w:rsid w:val="00135661"/>
    <w:rsid w:val="00135FA8"/>
    <w:rsid w:val="00136BAA"/>
    <w:rsid w:val="00136FA8"/>
    <w:rsid w:val="001377C4"/>
    <w:rsid w:val="0014246C"/>
    <w:rsid w:val="0015315C"/>
    <w:rsid w:val="001538D8"/>
    <w:rsid w:val="00154570"/>
    <w:rsid w:val="00160FFF"/>
    <w:rsid w:val="001613C6"/>
    <w:rsid w:val="0016652D"/>
    <w:rsid w:val="001728BA"/>
    <w:rsid w:val="00172933"/>
    <w:rsid w:val="00172AD6"/>
    <w:rsid w:val="001755F1"/>
    <w:rsid w:val="00181ACE"/>
    <w:rsid w:val="00182105"/>
    <w:rsid w:val="00183844"/>
    <w:rsid w:val="00183DAA"/>
    <w:rsid w:val="001907CB"/>
    <w:rsid w:val="0019298F"/>
    <w:rsid w:val="00194400"/>
    <w:rsid w:val="00195679"/>
    <w:rsid w:val="00195954"/>
    <w:rsid w:val="001A064A"/>
    <w:rsid w:val="001A15F3"/>
    <w:rsid w:val="001A389F"/>
    <w:rsid w:val="001A5726"/>
    <w:rsid w:val="001A6161"/>
    <w:rsid w:val="001A6F69"/>
    <w:rsid w:val="001A759D"/>
    <w:rsid w:val="001B44B8"/>
    <w:rsid w:val="001B4981"/>
    <w:rsid w:val="001B52D8"/>
    <w:rsid w:val="001C4899"/>
    <w:rsid w:val="001C50FF"/>
    <w:rsid w:val="001D07CA"/>
    <w:rsid w:val="001D28A7"/>
    <w:rsid w:val="001D2B5A"/>
    <w:rsid w:val="001D4381"/>
    <w:rsid w:val="001D4387"/>
    <w:rsid w:val="001D746F"/>
    <w:rsid w:val="001D7723"/>
    <w:rsid w:val="001E0C93"/>
    <w:rsid w:val="001E0E1F"/>
    <w:rsid w:val="001E1AB1"/>
    <w:rsid w:val="001E2A78"/>
    <w:rsid w:val="001E319E"/>
    <w:rsid w:val="001E4A54"/>
    <w:rsid w:val="001E5C10"/>
    <w:rsid w:val="001E6688"/>
    <w:rsid w:val="001E7B0A"/>
    <w:rsid w:val="001F09AF"/>
    <w:rsid w:val="001F2F1F"/>
    <w:rsid w:val="001F5947"/>
    <w:rsid w:val="00200FC1"/>
    <w:rsid w:val="00203953"/>
    <w:rsid w:val="0020552B"/>
    <w:rsid w:val="0020681F"/>
    <w:rsid w:val="002152E2"/>
    <w:rsid w:val="0022050E"/>
    <w:rsid w:val="00220848"/>
    <w:rsid w:val="00220B63"/>
    <w:rsid w:val="00220ED2"/>
    <w:rsid w:val="0022357E"/>
    <w:rsid w:val="00224E5A"/>
    <w:rsid w:val="002257E4"/>
    <w:rsid w:val="0022783A"/>
    <w:rsid w:val="00231722"/>
    <w:rsid w:val="0023290F"/>
    <w:rsid w:val="00233265"/>
    <w:rsid w:val="002416B0"/>
    <w:rsid w:val="002423CE"/>
    <w:rsid w:val="00244B7A"/>
    <w:rsid w:val="00245789"/>
    <w:rsid w:val="0024783D"/>
    <w:rsid w:val="00251226"/>
    <w:rsid w:val="00253689"/>
    <w:rsid w:val="00255973"/>
    <w:rsid w:val="002606B3"/>
    <w:rsid w:val="00265BDA"/>
    <w:rsid w:val="00266E57"/>
    <w:rsid w:val="00273FA1"/>
    <w:rsid w:val="00276E0F"/>
    <w:rsid w:val="002774A0"/>
    <w:rsid w:val="002805BD"/>
    <w:rsid w:val="0028161F"/>
    <w:rsid w:val="00284994"/>
    <w:rsid w:val="002862A0"/>
    <w:rsid w:val="002916BF"/>
    <w:rsid w:val="0029322F"/>
    <w:rsid w:val="002943A9"/>
    <w:rsid w:val="00294D80"/>
    <w:rsid w:val="002972F1"/>
    <w:rsid w:val="002A1699"/>
    <w:rsid w:val="002A1BE3"/>
    <w:rsid w:val="002A2E4B"/>
    <w:rsid w:val="002A2FFB"/>
    <w:rsid w:val="002B094E"/>
    <w:rsid w:val="002B2914"/>
    <w:rsid w:val="002B29E3"/>
    <w:rsid w:val="002B2A58"/>
    <w:rsid w:val="002B5A9E"/>
    <w:rsid w:val="002B6423"/>
    <w:rsid w:val="002B6DAC"/>
    <w:rsid w:val="002C2D4F"/>
    <w:rsid w:val="002C69F2"/>
    <w:rsid w:val="002C6EF1"/>
    <w:rsid w:val="002C7AEA"/>
    <w:rsid w:val="002C7F66"/>
    <w:rsid w:val="002D2FC9"/>
    <w:rsid w:val="002D691D"/>
    <w:rsid w:val="002E0C96"/>
    <w:rsid w:val="002E1123"/>
    <w:rsid w:val="002F01BC"/>
    <w:rsid w:val="002F137E"/>
    <w:rsid w:val="002F1CBC"/>
    <w:rsid w:val="002F487E"/>
    <w:rsid w:val="002F6DDA"/>
    <w:rsid w:val="00300C00"/>
    <w:rsid w:val="00310749"/>
    <w:rsid w:val="00312498"/>
    <w:rsid w:val="00314C7B"/>
    <w:rsid w:val="00320EE5"/>
    <w:rsid w:val="003214B9"/>
    <w:rsid w:val="00321E68"/>
    <w:rsid w:val="003228FD"/>
    <w:rsid w:val="00324158"/>
    <w:rsid w:val="00326645"/>
    <w:rsid w:val="00331077"/>
    <w:rsid w:val="003315D4"/>
    <w:rsid w:val="003368A8"/>
    <w:rsid w:val="00341707"/>
    <w:rsid w:val="00346F42"/>
    <w:rsid w:val="00346FB3"/>
    <w:rsid w:val="00352408"/>
    <w:rsid w:val="00352C30"/>
    <w:rsid w:val="003616FD"/>
    <w:rsid w:val="003644D3"/>
    <w:rsid w:val="003647EF"/>
    <w:rsid w:val="00366D84"/>
    <w:rsid w:val="0037502C"/>
    <w:rsid w:val="003755C1"/>
    <w:rsid w:val="00375BDE"/>
    <w:rsid w:val="003778E8"/>
    <w:rsid w:val="00390402"/>
    <w:rsid w:val="0039050D"/>
    <w:rsid w:val="00395EBC"/>
    <w:rsid w:val="00396D6E"/>
    <w:rsid w:val="003974FC"/>
    <w:rsid w:val="003A2365"/>
    <w:rsid w:val="003A439C"/>
    <w:rsid w:val="003A53E7"/>
    <w:rsid w:val="003A5FCB"/>
    <w:rsid w:val="003A7EF8"/>
    <w:rsid w:val="003B04A1"/>
    <w:rsid w:val="003B1C23"/>
    <w:rsid w:val="003B5DBB"/>
    <w:rsid w:val="003C23E5"/>
    <w:rsid w:val="003C48F0"/>
    <w:rsid w:val="003C6121"/>
    <w:rsid w:val="003C7D62"/>
    <w:rsid w:val="003D1921"/>
    <w:rsid w:val="003D6DF0"/>
    <w:rsid w:val="003D7546"/>
    <w:rsid w:val="003E11E5"/>
    <w:rsid w:val="003E5FF6"/>
    <w:rsid w:val="003E62A4"/>
    <w:rsid w:val="003E6645"/>
    <w:rsid w:val="003E6A83"/>
    <w:rsid w:val="003F0B2C"/>
    <w:rsid w:val="003F436B"/>
    <w:rsid w:val="003F6C9A"/>
    <w:rsid w:val="003F795E"/>
    <w:rsid w:val="00400BBE"/>
    <w:rsid w:val="00401C6D"/>
    <w:rsid w:val="00401F72"/>
    <w:rsid w:val="00410EA3"/>
    <w:rsid w:val="00412F8F"/>
    <w:rsid w:val="004140E8"/>
    <w:rsid w:val="004155BC"/>
    <w:rsid w:val="00417173"/>
    <w:rsid w:val="00417FAD"/>
    <w:rsid w:val="00421FBE"/>
    <w:rsid w:val="00425126"/>
    <w:rsid w:val="00433447"/>
    <w:rsid w:val="0043516A"/>
    <w:rsid w:val="004357E8"/>
    <w:rsid w:val="004360B5"/>
    <w:rsid w:val="00436E1B"/>
    <w:rsid w:val="004421CC"/>
    <w:rsid w:val="00443AE6"/>
    <w:rsid w:val="0044518C"/>
    <w:rsid w:val="00446A69"/>
    <w:rsid w:val="0044760B"/>
    <w:rsid w:val="004509C4"/>
    <w:rsid w:val="00455535"/>
    <w:rsid w:val="0045586A"/>
    <w:rsid w:val="0046317B"/>
    <w:rsid w:val="0046388C"/>
    <w:rsid w:val="00463D94"/>
    <w:rsid w:val="00464CB9"/>
    <w:rsid w:val="00467839"/>
    <w:rsid w:val="00470A83"/>
    <w:rsid w:val="00473B56"/>
    <w:rsid w:val="00475699"/>
    <w:rsid w:val="004811B5"/>
    <w:rsid w:val="00486C4B"/>
    <w:rsid w:val="00493304"/>
    <w:rsid w:val="0049512C"/>
    <w:rsid w:val="004A7339"/>
    <w:rsid w:val="004B03CD"/>
    <w:rsid w:val="004B1335"/>
    <w:rsid w:val="004B5D84"/>
    <w:rsid w:val="004B7412"/>
    <w:rsid w:val="004C2B8B"/>
    <w:rsid w:val="004C3F95"/>
    <w:rsid w:val="004C7167"/>
    <w:rsid w:val="004C72B8"/>
    <w:rsid w:val="004C7560"/>
    <w:rsid w:val="004D03E6"/>
    <w:rsid w:val="004E0DB3"/>
    <w:rsid w:val="004E215E"/>
    <w:rsid w:val="004E2A88"/>
    <w:rsid w:val="004F1084"/>
    <w:rsid w:val="004F1110"/>
    <w:rsid w:val="004F1F8D"/>
    <w:rsid w:val="004F2519"/>
    <w:rsid w:val="004F2839"/>
    <w:rsid w:val="004F6500"/>
    <w:rsid w:val="004F7980"/>
    <w:rsid w:val="004F7EFF"/>
    <w:rsid w:val="00501E1B"/>
    <w:rsid w:val="00503A89"/>
    <w:rsid w:val="0050496F"/>
    <w:rsid w:val="00505066"/>
    <w:rsid w:val="0050704F"/>
    <w:rsid w:val="0050750E"/>
    <w:rsid w:val="005103B7"/>
    <w:rsid w:val="00511077"/>
    <w:rsid w:val="0051181E"/>
    <w:rsid w:val="005142CD"/>
    <w:rsid w:val="00517EA4"/>
    <w:rsid w:val="00521D93"/>
    <w:rsid w:val="00523DF3"/>
    <w:rsid w:val="00523E35"/>
    <w:rsid w:val="00525350"/>
    <w:rsid w:val="00527ED7"/>
    <w:rsid w:val="00530EF8"/>
    <w:rsid w:val="0053190E"/>
    <w:rsid w:val="005321D4"/>
    <w:rsid w:val="005334BD"/>
    <w:rsid w:val="00533B57"/>
    <w:rsid w:val="00534CB5"/>
    <w:rsid w:val="005370F4"/>
    <w:rsid w:val="0053761D"/>
    <w:rsid w:val="00540B55"/>
    <w:rsid w:val="00544093"/>
    <w:rsid w:val="00545667"/>
    <w:rsid w:val="00545698"/>
    <w:rsid w:val="005549A0"/>
    <w:rsid w:val="005567E2"/>
    <w:rsid w:val="00566E58"/>
    <w:rsid w:val="00572F7A"/>
    <w:rsid w:val="0057442A"/>
    <w:rsid w:val="00576E58"/>
    <w:rsid w:val="00581DE8"/>
    <w:rsid w:val="005825D0"/>
    <w:rsid w:val="005828A4"/>
    <w:rsid w:val="00582997"/>
    <w:rsid w:val="00582C95"/>
    <w:rsid w:val="00583235"/>
    <w:rsid w:val="00584DEB"/>
    <w:rsid w:val="00587D1B"/>
    <w:rsid w:val="005931E2"/>
    <w:rsid w:val="0059654D"/>
    <w:rsid w:val="005977D9"/>
    <w:rsid w:val="005A0CAB"/>
    <w:rsid w:val="005A2F3B"/>
    <w:rsid w:val="005A4281"/>
    <w:rsid w:val="005A5DA0"/>
    <w:rsid w:val="005B0779"/>
    <w:rsid w:val="005B4258"/>
    <w:rsid w:val="005B5149"/>
    <w:rsid w:val="005C4C99"/>
    <w:rsid w:val="005D2A49"/>
    <w:rsid w:val="005D3E47"/>
    <w:rsid w:val="005D44C9"/>
    <w:rsid w:val="005D631B"/>
    <w:rsid w:val="005D67FC"/>
    <w:rsid w:val="005E32A1"/>
    <w:rsid w:val="005E4A2A"/>
    <w:rsid w:val="005F4BF7"/>
    <w:rsid w:val="00600180"/>
    <w:rsid w:val="006002A7"/>
    <w:rsid w:val="006010B1"/>
    <w:rsid w:val="00605D5A"/>
    <w:rsid w:val="006138EA"/>
    <w:rsid w:val="006139D1"/>
    <w:rsid w:val="006246B2"/>
    <w:rsid w:val="00627182"/>
    <w:rsid w:val="00632CAC"/>
    <w:rsid w:val="006353A4"/>
    <w:rsid w:val="00636E12"/>
    <w:rsid w:val="00642512"/>
    <w:rsid w:val="00643B74"/>
    <w:rsid w:val="00647A55"/>
    <w:rsid w:val="00650658"/>
    <w:rsid w:val="00661C80"/>
    <w:rsid w:val="006665CD"/>
    <w:rsid w:val="006804BC"/>
    <w:rsid w:val="006819B0"/>
    <w:rsid w:val="00691224"/>
    <w:rsid w:val="006925E4"/>
    <w:rsid w:val="006929C4"/>
    <w:rsid w:val="006958E5"/>
    <w:rsid w:val="006A05F2"/>
    <w:rsid w:val="006A0BC3"/>
    <w:rsid w:val="006A1111"/>
    <w:rsid w:val="006A1820"/>
    <w:rsid w:val="006A3A0A"/>
    <w:rsid w:val="006A55F5"/>
    <w:rsid w:val="006A6B1D"/>
    <w:rsid w:val="006B3747"/>
    <w:rsid w:val="006B4E89"/>
    <w:rsid w:val="006B5A01"/>
    <w:rsid w:val="006C1868"/>
    <w:rsid w:val="006C1EC8"/>
    <w:rsid w:val="006C4312"/>
    <w:rsid w:val="006C5B0D"/>
    <w:rsid w:val="006C5FD6"/>
    <w:rsid w:val="006D01F9"/>
    <w:rsid w:val="006D045F"/>
    <w:rsid w:val="006D0736"/>
    <w:rsid w:val="006D2E13"/>
    <w:rsid w:val="006D443E"/>
    <w:rsid w:val="006D54BC"/>
    <w:rsid w:val="006D6080"/>
    <w:rsid w:val="006E00D2"/>
    <w:rsid w:val="006E16E0"/>
    <w:rsid w:val="006E2282"/>
    <w:rsid w:val="006E5DB6"/>
    <w:rsid w:val="006F52F1"/>
    <w:rsid w:val="006F53F1"/>
    <w:rsid w:val="006F5F3D"/>
    <w:rsid w:val="006F683A"/>
    <w:rsid w:val="006F6AC9"/>
    <w:rsid w:val="006F7471"/>
    <w:rsid w:val="007000E9"/>
    <w:rsid w:val="00704CA0"/>
    <w:rsid w:val="00712560"/>
    <w:rsid w:val="007168FF"/>
    <w:rsid w:val="00721A63"/>
    <w:rsid w:val="0072332C"/>
    <w:rsid w:val="00723CB0"/>
    <w:rsid w:val="00726D6D"/>
    <w:rsid w:val="007271F2"/>
    <w:rsid w:val="00727961"/>
    <w:rsid w:val="007301BF"/>
    <w:rsid w:val="00730EC2"/>
    <w:rsid w:val="007316DD"/>
    <w:rsid w:val="00733C44"/>
    <w:rsid w:val="00736290"/>
    <w:rsid w:val="00742264"/>
    <w:rsid w:val="007454C0"/>
    <w:rsid w:val="00747D0F"/>
    <w:rsid w:val="00752B12"/>
    <w:rsid w:val="00752E4E"/>
    <w:rsid w:val="00755063"/>
    <w:rsid w:val="00755557"/>
    <w:rsid w:val="007556AC"/>
    <w:rsid w:val="007568A0"/>
    <w:rsid w:val="00762CC3"/>
    <w:rsid w:val="007715B6"/>
    <w:rsid w:val="00780F3D"/>
    <w:rsid w:val="0078102B"/>
    <w:rsid w:val="00781549"/>
    <w:rsid w:val="00782665"/>
    <w:rsid w:val="0078513D"/>
    <w:rsid w:val="007963C7"/>
    <w:rsid w:val="007A3889"/>
    <w:rsid w:val="007B03B6"/>
    <w:rsid w:val="007C2E5B"/>
    <w:rsid w:val="007C3103"/>
    <w:rsid w:val="007C34F9"/>
    <w:rsid w:val="007C725B"/>
    <w:rsid w:val="007E0915"/>
    <w:rsid w:val="007E6C57"/>
    <w:rsid w:val="007E7398"/>
    <w:rsid w:val="007F0735"/>
    <w:rsid w:val="007F12BF"/>
    <w:rsid w:val="007F4D89"/>
    <w:rsid w:val="007F6AF4"/>
    <w:rsid w:val="0080047E"/>
    <w:rsid w:val="008020AA"/>
    <w:rsid w:val="008039FE"/>
    <w:rsid w:val="0080504E"/>
    <w:rsid w:val="0081351E"/>
    <w:rsid w:val="0081457F"/>
    <w:rsid w:val="00814BEB"/>
    <w:rsid w:val="00817822"/>
    <w:rsid w:val="0082001C"/>
    <w:rsid w:val="0082197C"/>
    <w:rsid w:val="00821A52"/>
    <w:rsid w:val="00822541"/>
    <w:rsid w:val="008232EE"/>
    <w:rsid w:val="00826AF1"/>
    <w:rsid w:val="0083259D"/>
    <w:rsid w:val="00835067"/>
    <w:rsid w:val="00836685"/>
    <w:rsid w:val="00840555"/>
    <w:rsid w:val="008411EA"/>
    <w:rsid w:val="008457F1"/>
    <w:rsid w:val="00851213"/>
    <w:rsid w:val="00852671"/>
    <w:rsid w:val="00853810"/>
    <w:rsid w:val="008546CB"/>
    <w:rsid w:val="00860F0B"/>
    <w:rsid w:val="008631DC"/>
    <w:rsid w:val="00865B37"/>
    <w:rsid w:val="00872AE7"/>
    <w:rsid w:val="00872B5A"/>
    <w:rsid w:val="00876A89"/>
    <w:rsid w:val="00884406"/>
    <w:rsid w:val="008847D6"/>
    <w:rsid w:val="008913B8"/>
    <w:rsid w:val="00893783"/>
    <w:rsid w:val="00895A00"/>
    <w:rsid w:val="008A1BFE"/>
    <w:rsid w:val="008A3EE9"/>
    <w:rsid w:val="008A3F1F"/>
    <w:rsid w:val="008B2E88"/>
    <w:rsid w:val="008B6861"/>
    <w:rsid w:val="008B7A30"/>
    <w:rsid w:val="008C08CC"/>
    <w:rsid w:val="008C4B58"/>
    <w:rsid w:val="008C597E"/>
    <w:rsid w:val="008C7E6B"/>
    <w:rsid w:val="008D0C74"/>
    <w:rsid w:val="008D1F3C"/>
    <w:rsid w:val="008D59BF"/>
    <w:rsid w:val="008E2D99"/>
    <w:rsid w:val="008E2EE2"/>
    <w:rsid w:val="008F0187"/>
    <w:rsid w:val="008F0E55"/>
    <w:rsid w:val="008F1C83"/>
    <w:rsid w:val="008F352B"/>
    <w:rsid w:val="008F3C1D"/>
    <w:rsid w:val="008F423B"/>
    <w:rsid w:val="008F46F7"/>
    <w:rsid w:val="008F755D"/>
    <w:rsid w:val="00900FA8"/>
    <w:rsid w:val="00901D03"/>
    <w:rsid w:val="00903354"/>
    <w:rsid w:val="00911B1F"/>
    <w:rsid w:val="009134F0"/>
    <w:rsid w:val="0092003E"/>
    <w:rsid w:val="00920580"/>
    <w:rsid w:val="009246D5"/>
    <w:rsid w:val="009257C7"/>
    <w:rsid w:val="00926079"/>
    <w:rsid w:val="0093114F"/>
    <w:rsid w:val="00933912"/>
    <w:rsid w:val="00936FB4"/>
    <w:rsid w:val="0094088D"/>
    <w:rsid w:val="0094149A"/>
    <w:rsid w:val="00945139"/>
    <w:rsid w:val="009517E2"/>
    <w:rsid w:val="00956444"/>
    <w:rsid w:val="00960958"/>
    <w:rsid w:val="00962A32"/>
    <w:rsid w:val="00963793"/>
    <w:rsid w:val="00965D1C"/>
    <w:rsid w:val="009744FC"/>
    <w:rsid w:val="0097578D"/>
    <w:rsid w:val="009762CA"/>
    <w:rsid w:val="00976864"/>
    <w:rsid w:val="0098138B"/>
    <w:rsid w:val="00984832"/>
    <w:rsid w:val="00984927"/>
    <w:rsid w:val="00990B56"/>
    <w:rsid w:val="00992AF2"/>
    <w:rsid w:val="009931F9"/>
    <w:rsid w:val="00996703"/>
    <w:rsid w:val="009975D9"/>
    <w:rsid w:val="009A0BF9"/>
    <w:rsid w:val="009A32D5"/>
    <w:rsid w:val="009A34B8"/>
    <w:rsid w:val="009A5809"/>
    <w:rsid w:val="009A6E85"/>
    <w:rsid w:val="009A7BBC"/>
    <w:rsid w:val="009B1107"/>
    <w:rsid w:val="009B214E"/>
    <w:rsid w:val="009B26AD"/>
    <w:rsid w:val="009B2B22"/>
    <w:rsid w:val="009B69FE"/>
    <w:rsid w:val="009B6D64"/>
    <w:rsid w:val="009B7C5A"/>
    <w:rsid w:val="009B7E6A"/>
    <w:rsid w:val="009C1367"/>
    <w:rsid w:val="009C3C3A"/>
    <w:rsid w:val="009C43E9"/>
    <w:rsid w:val="009C4B91"/>
    <w:rsid w:val="009C71B9"/>
    <w:rsid w:val="009D0B30"/>
    <w:rsid w:val="009D41D3"/>
    <w:rsid w:val="009D4BFB"/>
    <w:rsid w:val="009F1A10"/>
    <w:rsid w:val="00A00453"/>
    <w:rsid w:val="00A03E4D"/>
    <w:rsid w:val="00A06B71"/>
    <w:rsid w:val="00A07185"/>
    <w:rsid w:val="00A12E3B"/>
    <w:rsid w:val="00A140EB"/>
    <w:rsid w:val="00A16004"/>
    <w:rsid w:val="00A162F3"/>
    <w:rsid w:val="00A17569"/>
    <w:rsid w:val="00A17735"/>
    <w:rsid w:val="00A17E33"/>
    <w:rsid w:val="00A22C7B"/>
    <w:rsid w:val="00A22EA5"/>
    <w:rsid w:val="00A23232"/>
    <w:rsid w:val="00A30805"/>
    <w:rsid w:val="00A30C29"/>
    <w:rsid w:val="00A31069"/>
    <w:rsid w:val="00A31385"/>
    <w:rsid w:val="00A32B6E"/>
    <w:rsid w:val="00A35A78"/>
    <w:rsid w:val="00A37952"/>
    <w:rsid w:val="00A37D66"/>
    <w:rsid w:val="00A42765"/>
    <w:rsid w:val="00A42980"/>
    <w:rsid w:val="00A4304A"/>
    <w:rsid w:val="00A431F8"/>
    <w:rsid w:val="00A44A98"/>
    <w:rsid w:val="00A44C0B"/>
    <w:rsid w:val="00A46B12"/>
    <w:rsid w:val="00A52229"/>
    <w:rsid w:val="00A523A9"/>
    <w:rsid w:val="00A53119"/>
    <w:rsid w:val="00A547A1"/>
    <w:rsid w:val="00A551BC"/>
    <w:rsid w:val="00A61EE6"/>
    <w:rsid w:val="00A62D20"/>
    <w:rsid w:val="00A63DEA"/>
    <w:rsid w:val="00A6572B"/>
    <w:rsid w:val="00A66595"/>
    <w:rsid w:val="00A74FF3"/>
    <w:rsid w:val="00A75817"/>
    <w:rsid w:val="00A7729A"/>
    <w:rsid w:val="00A77CEE"/>
    <w:rsid w:val="00A82147"/>
    <w:rsid w:val="00A937E5"/>
    <w:rsid w:val="00AA043A"/>
    <w:rsid w:val="00AA2457"/>
    <w:rsid w:val="00AA558F"/>
    <w:rsid w:val="00AB2CB8"/>
    <w:rsid w:val="00AB5415"/>
    <w:rsid w:val="00AB6418"/>
    <w:rsid w:val="00AC27D3"/>
    <w:rsid w:val="00AC3B70"/>
    <w:rsid w:val="00AC689B"/>
    <w:rsid w:val="00AC7A09"/>
    <w:rsid w:val="00AD1C0B"/>
    <w:rsid w:val="00AD7092"/>
    <w:rsid w:val="00AD710F"/>
    <w:rsid w:val="00AE3399"/>
    <w:rsid w:val="00AE7523"/>
    <w:rsid w:val="00AF0384"/>
    <w:rsid w:val="00AF36B4"/>
    <w:rsid w:val="00AF7F1E"/>
    <w:rsid w:val="00B002A7"/>
    <w:rsid w:val="00B00B7D"/>
    <w:rsid w:val="00B011FB"/>
    <w:rsid w:val="00B04971"/>
    <w:rsid w:val="00B060F2"/>
    <w:rsid w:val="00B06397"/>
    <w:rsid w:val="00B123BA"/>
    <w:rsid w:val="00B1429D"/>
    <w:rsid w:val="00B15699"/>
    <w:rsid w:val="00B15F0D"/>
    <w:rsid w:val="00B16999"/>
    <w:rsid w:val="00B20124"/>
    <w:rsid w:val="00B20B7C"/>
    <w:rsid w:val="00B232EB"/>
    <w:rsid w:val="00B23A75"/>
    <w:rsid w:val="00B23F43"/>
    <w:rsid w:val="00B23F56"/>
    <w:rsid w:val="00B2589A"/>
    <w:rsid w:val="00B30D6C"/>
    <w:rsid w:val="00B32EE4"/>
    <w:rsid w:val="00B373FC"/>
    <w:rsid w:val="00B404F2"/>
    <w:rsid w:val="00B43170"/>
    <w:rsid w:val="00B52B8A"/>
    <w:rsid w:val="00B5367B"/>
    <w:rsid w:val="00B54051"/>
    <w:rsid w:val="00B57029"/>
    <w:rsid w:val="00B64EAE"/>
    <w:rsid w:val="00B674AC"/>
    <w:rsid w:val="00B71A15"/>
    <w:rsid w:val="00B763C9"/>
    <w:rsid w:val="00B90E85"/>
    <w:rsid w:val="00B92362"/>
    <w:rsid w:val="00B96BB0"/>
    <w:rsid w:val="00B974C8"/>
    <w:rsid w:val="00BA0186"/>
    <w:rsid w:val="00BA162B"/>
    <w:rsid w:val="00BA6D13"/>
    <w:rsid w:val="00BB09E6"/>
    <w:rsid w:val="00BB2E9C"/>
    <w:rsid w:val="00BB35E2"/>
    <w:rsid w:val="00BB6EFA"/>
    <w:rsid w:val="00BB7AFD"/>
    <w:rsid w:val="00BC7D83"/>
    <w:rsid w:val="00BD1A8C"/>
    <w:rsid w:val="00BD622C"/>
    <w:rsid w:val="00BD748D"/>
    <w:rsid w:val="00BD777F"/>
    <w:rsid w:val="00BD7CD7"/>
    <w:rsid w:val="00BE2113"/>
    <w:rsid w:val="00BE72EC"/>
    <w:rsid w:val="00BF0D7B"/>
    <w:rsid w:val="00BF17B7"/>
    <w:rsid w:val="00BF3B06"/>
    <w:rsid w:val="00BF443A"/>
    <w:rsid w:val="00BF6519"/>
    <w:rsid w:val="00C07E0C"/>
    <w:rsid w:val="00C10173"/>
    <w:rsid w:val="00C11FC8"/>
    <w:rsid w:val="00C133B1"/>
    <w:rsid w:val="00C13750"/>
    <w:rsid w:val="00C14413"/>
    <w:rsid w:val="00C149F5"/>
    <w:rsid w:val="00C1620C"/>
    <w:rsid w:val="00C21535"/>
    <w:rsid w:val="00C24FC1"/>
    <w:rsid w:val="00C26409"/>
    <w:rsid w:val="00C27DBE"/>
    <w:rsid w:val="00C325C1"/>
    <w:rsid w:val="00C33C9F"/>
    <w:rsid w:val="00C34E0B"/>
    <w:rsid w:val="00C35E7C"/>
    <w:rsid w:val="00C44610"/>
    <w:rsid w:val="00C53C42"/>
    <w:rsid w:val="00C5569B"/>
    <w:rsid w:val="00C60BA2"/>
    <w:rsid w:val="00C61BE3"/>
    <w:rsid w:val="00C646E1"/>
    <w:rsid w:val="00C707BF"/>
    <w:rsid w:val="00C71EBD"/>
    <w:rsid w:val="00C727B0"/>
    <w:rsid w:val="00C73E17"/>
    <w:rsid w:val="00C7661B"/>
    <w:rsid w:val="00C81864"/>
    <w:rsid w:val="00C83B96"/>
    <w:rsid w:val="00C85580"/>
    <w:rsid w:val="00C86B20"/>
    <w:rsid w:val="00C90A06"/>
    <w:rsid w:val="00C91182"/>
    <w:rsid w:val="00C93ADF"/>
    <w:rsid w:val="00C957A3"/>
    <w:rsid w:val="00CA1936"/>
    <w:rsid w:val="00CA240C"/>
    <w:rsid w:val="00CA2C15"/>
    <w:rsid w:val="00CA30F1"/>
    <w:rsid w:val="00CB1564"/>
    <w:rsid w:val="00CC5731"/>
    <w:rsid w:val="00CC5892"/>
    <w:rsid w:val="00CC61AC"/>
    <w:rsid w:val="00CD0C26"/>
    <w:rsid w:val="00CD3514"/>
    <w:rsid w:val="00CD5B8B"/>
    <w:rsid w:val="00CE03F7"/>
    <w:rsid w:val="00CE268E"/>
    <w:rsid w:val="00CE3889"/>
    <w:rsid w:val="00CE7C83"/>
    <w:rsid w:val="00CF472B"/>
    <w:rsid w:val="00D02204"/>
    <w:rsid w:val="00D02259"/>
    <w:rsid w:val="00D02876"/>
    <w:rsid w:val="00D032F4"/>
    <w:rsid w:val="00D03F00"/>
    <w:rsid w:val="00D1080E"/>
    <w:rsid w:val="00D20587"/>
    <w:rsid w:val="00D2130D"/>
    <w:rsid w:val="00D26324"/>
    <w:rsid w:val="00D27AA7"/>
    <w:rsid w:val="00D30C01"/>
    <w:rsid w:val="00D32E81"/>
    <w:rsid w:val="00D336CA"/>
    <w:rsid w:val="00D34AA0"/>
    <w:rsid w:val="00D34DF3"/>
    <w:rsid w:val="00D36450"/>
    <w:rsid w:val="00D4175F"/>
    <w:rsid w:val="00D47831"/>
    <w:rsid w:val="00D50D7D"/>
    <w:rsid w:val="00D52C26"/>
    <w:rsid w:val="00D5314C"/>
    <w:rsid w:val="00D5462B"/>
    <w:rsid w:val="00D556F6"/>
    <w:rsid w:val="00D62075"/>
    <w:rsid w:val="00D62B12"/>
    <w:rsid w:val="00D64BBC"/>
    <w:rsid w:val="00D64CB9"/>
    <w:rsid w:val="00D655A8"/>
    <w:rsid w:val="00D66277"/>
    <w:rsid w:val="00D66A3F"/>
    <w:rsid w:val="00D70FBE"/>
    <w:rsid w:val="00D73624"/>
    <w:rsid w:val="00D806AE"/>
    <w:rsid w:val="00D828AD"/>
    <w:rsid w:val="00D838AE"/>
    <w:rsid w:val="00D84990"/>
    <w:rsid w:val="00D87E0A"/>
    <w:rsid w:val="00D9417E"/>
    <w:rsid w:val="00DA149D"/>
    <w:rsid w:val="00DA2A6B"/>
    <w:rsid w:val="00DA2AA4"/>
    <w:rsid w:val="00DA2CD2"/>
    <w:rsid w:val="00DA624E"/>
    <w:rsid w:val="00DB0517"/>
    <w:rsid w:val="00DB0C47"/>
    <w:rsid w:val="00DB2BB7"/>
    <w:rsid w:val="00DB57EA"/>
    <w:rsid w:val="00DB7352"/>
    <w:rsid w:val="00DC00D6"/>
    <w:rsid w:val="00DC73B4"/>
    <w:rsid w:val="00DD0A5B"/>
    <w:rsid w:val="00DD319D"/>
    <w:rsid w:val="00DD4625"/>
    <w:rsid w:val="00DD7916"/>
    <w:rsid w:val="00DE6767"/>
    <w:rsid w:val="00DE7D04"/>
    <w:rsid w:val="00DF07BE"/>
    <w:rsid w:val="00DF19BB"/>
    <w:rsid w:val="00DF2680"/>
    <w:rsid w:val="00DF2917"/>
    <w:rsid w:val="00DF34D9"/>
    <w:rsid w:val="00E02ACE"/>
    <w:rsid w:val="00E051AA"/>
    <w:rsid w:val="00E0640E"/>
    <w:rsid w:val="00E0791B"/>
    <w:rsid w:val="00E11ACC"/>
    <w:rsid w:val="00E150DC"/>
    <w:rsid w:val="00E220E3"/>
    <w:rsid w:val="00E236D0"/>
    <w:rsid w:val="00E24E2C"/>
    <w:rsid w:val="00E26766"/>
    <w:rsid w:val="00E268E3"/>
    <w:rsid w:val="00E27693"/>
    <w:rsid w:val="00E300F7"/>
    <w:rsid w:val="00E41488"/>
    <w:rsid w:val="00E46ED2"/>
    <w:rsid w:val="00E52362"/>
    <w:rsid w:val="00E54913"/>
    <w:rsid w:val="00E56140"/>
    <w:rsid w:val="00E566B4"/>
    <w:rsid w:val="00E576F4"/>
    <w:rsid w:val="00E615D1"/>
    <w:rsid w:val="00E63AFE"/>
    <w:rsid w:val="00E65B68"/>
    <w:rsid w:val="00E727DE"/>
    <w:rsid w:val="00E732C4"/>
    <w:rsid w:val="00E82F7A"/>
    <w:rsid w:val="00E84696"/>
    <w:rsid w:val="00E94362"/>
    <w:rsid w:val="00E96AAF"/>
    <w:rsid w:val="00E97484"/>
    <w:rsid w:val="00EA0D24"/>
    <w:rsid w:val="00EA27FE"/>
    <w:rsid w:val="00EA2F9C"/>
    <w:rsid w:val="00EA61CE"/>
    <w:rsid w:val="00EA6852"/>
    <w:rsid w:val="00EB1FF2"/>
    <w:rsid w:val="00EB2005"/>
    <w:rsid w:val="00EB5A6D"/>
    <w:rsid w:val="00EB65F0"/>
    <w:rsid w:val="00EB6A65"/>
    <w:rsid w:val="00EB6BB5"/>
    <w:rsid w:val="00EB726B"/>
    <w:rsid w:val="00EC426E"/>
    <w:rsid w:val="00EC521D"/>
    <w:rsid w:val="00EC53D8"/>
    <w:rsid w:val="00EC5D27"/>
    <w:rsid w:val="00EC7B29"/>
    <w:rsid w:val="00ED23EF"/>
    <w:rsid w:val="00ED31BA"/>
    <w:rsid w:val="00ED383D"/>
    <w:rsid w:val="00ED5EFD"/>
    <w:rsid w:val="00EE1280"/>
    <w:rsid w:val="00EE1E4D"/>
    <w:rsid w:val="00EE696E"/>
    <w:rsid w:val="00EF1466"/>
    <w:rsid w:val="00EF2E59"/>
    <w:rsid w:val="00EF4721"/>
    <w:rsid w:val="00EF4F47"/>
    <w:rsid w:val="00F00FCB"/>
    <w:rsid w:val="00F05976"/>
    <w:rsid w:val="00F05F3C"/>
    <w:rsid w:val="00F066BB"/>
    <w:rsid w:val="00F103F0"/>
    <w:rsid w:val="00F12FDC"/>
    <w:rsid w:val="00F1329D"/>
    <w:rsid w:val="00F1360A"/>
    <w:rsid w:val="00F17B1E"/>
    <w:rsid w:val="00F17F10"/>
    <w:rsid w:val="00F214F5"/>
    <w:rsid w:val="00F2268D"/>
    <w:rsid w:val="00F25761"/>
    <w:rsid w:val="00F26C4F"/>
    <w:rsid w:val="00F3380F"/>
    <w:rsid w:val="00F3581D"/>
    <w:rsid w:val="00F37137"/>
    <w:rsid w:val="00F45C05"/>
    <w:rsid w:val="00F46BE4"/>
    <w:rsid w:val="00F471A9"/>
    <w:rsid w:val="00F47998"/>
    <w:rsid w:val="00F50F3C"/>
    <w:rsid w:val="00F51CA3"/>
    <w:rsid w:val="00F5274D"/>
    <w:rsid w:val="00F53E41"/>
    <w:rsid w:val="00F57A88"/>
    <w:rsid w:val="00F57C02"/>
    <w:rsid w:val="00F62872"/>
    <w:rsid w:val="00F62A08"/>
    <w:rsid w:val="00F64881"/>
    <w:rsid w:val="00F66879"/>
    <w:rsid w:val="00F6689C"/>
    <w:rsid w:val="00F72A7F"/>
    <w:rsid w:val="00F740CA"/>
    <w:rsid w:val="00F75DE0"/>
    <w:rsid w:val="00F77115"/>
    <w:rsid w:val="00F81CB5"/>
    <w:rsid w:val="00F8525F"/>
    <w:rsid w:val="00F8535F"/>
    <w:rsid w:val="00F87777"/>
    <w:rsid w:val="00F9295F"/>
    <w:rsid w:val="00FA19B8"/>
    <w:rsid w:val="00FA4D8C"/>
    <w:rsid w:val="00FB12D6"/>
    <w:rsid w:val="00FB381D"/>
    <w:rsid w:val="00FB4749"/>
    <w:rsid w:val="00FB4C19"/>
    <w:rsid w:val="00FB56C7"/>
    <w:rsid w:val="00FB79D2"/>
    <w:rsid w:val="00FC1F67"/>
    <w:rsid w:val="00FC51B3"/>
    <w:rsid w:val="00FC5812"/>
    <w:rsid w:val="00FC5F3C"/>
    <w:rsid w:val="00FC70BE"/>
    <w:rsid w:val="00FC7DBB"/>
    <w:rsid w:val="00FC7E05"/>
    <w:rsid w:val="00FD2EB3"/>
    <w:rsid w:val="00FD4CF1"/>
    <w:rsid w:val="00FD6531"/>
    <w:rsid w:val="00FD7F2D"/>
    <w:rsid w:val="00FE26F3"/>
    <w:rsid w:val="00FE3AAB"/>
    <w:rsid w:val="00FE5CCB"/>
    <w:rsid w:val="00FE7DA0"/>
    <w:rsid w:val="00FF0645"/>
    <w:rsid w:val="00FF0B0D"/>
    <w:rsid w:val="00FF3B7C"/>
    <w:rsid w:val="00FF6796"/>
    <w:rsid w:val="050B009F"/>
    <w:rsid w:val="0A363D98"/>
    <w:rsid w:val="21AE0857"/>
    <w:rsid w:val="29986A24"/>
    <w:rsid w:val="4AB87DE6"/>
    <w:rsid w:val="5D443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link w:val="31"/>
    <w:qFormat/>
    <w:uiPriority w:val="0"/>
    <w:pPr>
      <w:keepNext/>
      <w:keepLines/>
      <w:spacing w:before="260" w:after="260" w:line="416" w:lineRule="auto"/>
      <w:outlineLvl w:val="1"/>
    </w:pPr>
    <w:rPr>
      <w:rFonts w:ascii="Arial" w:hAnsi="Arial" w:eastAsia="黑体"/>
      <w:b/>
      <w:sz w:val="32"/>
      <w:szCs w:val="20"/>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toc 7"/>
    <w:basedOn w:val="1"/>
    <w:next w:val="1"/>
    <w:semiHidden/>
    <w:qFormat/>
    <w:uiPriority w:val="0"/>
    <w:pPr>
      <w:ind w:left="2520" w:leftChars="1200"/>
    </w:pPr>
  </w:style>
  <w:style w:type="paragraph" w:styleId="5">
    <w:name w:val="annotation text"/>
    <w:basedOn w:val="1"/>
    <w:link w:val="32"/>
    <w:qFormat/>
    <w:uiPriority w:val="0"/>
    <w:pPr>
      <w:jc w:val="left"/>
    </w:pPr>
  </w:style>
  <w:style w:type="paragraph" w:styleId="6">
    <w:name w:val="Body Text"/>
    <w:basedOn w:val="1"/>
    <w:link w:val="33"/>
    <w:qFormat/>
    <w:uiPriority w:val="0"/>
    <w:pPr>
      <w:spacing w:line="360" w:lineRule="auto"/>
    </w:pPr>
    <w:rPr>
      <w:rFonts w:ascii="仿宋_GB2312" w:eastAsia="仿宋_GB2312"/>
      <w:color w:val="000000"/>
      <w:kern w:val="0"/>
      <w:sz w:val="24"/>
      <w:szCs w:val="28"/>
    </w:rPr>
  </w:style>
  <w:style w:type="paragraph" w:styleId="7">
    <w:name w:val="Body Text Indent"/>
    <w:basedOn w:val="1"/>
    <w:link w:val="34"/>
    <w:qFormat/>
    <w:uiPriority w:val="0"/>
    <w:pPr>
      <w:adjustRightInd w:val="0"/>
      <w:snapToGrid w:val="0"/>
      <w:spacing w:line="560" w:lineRule="exact"/>
      <w:ind w:firstLine="480" w:firstLineChars="200"/>
    </w:pPr>
    <w:rPr>
      <w:rFonts w:eastAsia="方正仿宋简体"/>
      <w:sz w:val="24"/>
      <w:szCs w:val="30"/>
    </w:rPr>
  </w:style>
  <w:style w:type="paragraph" w:styleId="8">
    <w:name w:val="toc 5"/>
    <w:basedOn w:val="1"/>
    <w:next w:val="1"/>
    <w:semiHidden/>
    <w:qFormat/>
    <w:uiPriority w:val="0"/>
    <w:pPr>
      <w:ind w:left="1680" w:leftChars="800"/>
    </w:p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2940" w:leftChars="1400"/>
    </w:pPr>
  </w:style>
  <w:style w:type="paragraph" w:styleId="11">
    <w:name w:val="Body Text Indent 2"/>
    <w:basedOn w:val="1"/>
    <w:link w:val="35"/>
    <w:qFormat/>
    <w:uiPriority w:val="0"/>
    <w:pPr>
      <w:spacing w:line="360" w:lineRule="auto"/>
      <w:ind w:firstLine="525"/>
    </w:pPr>
    <w:rPr>
      <w:rFonts w:ascii="宋体" w:hAnsi="宋体"/>
      <w:sz w:val="28"/>
      <w:szCs w:val="20"/>
    </w:rPr>
  </w:style>
  <w:style w:type="paragraph" w:styleId="12">
    <w:name w:val="Balloon Text"/>
    <w:basedOn w:val="1"/>
    <w:link w:val="36"/>
    <w:semiHidden/>
    <w:qFormat/>
    <w:uiPriority w:val="0"/>
    <w:rPr>
      <w:sz w:val="18"/>
      <w:szCs w:val="18"/>
    </w:rPr>
  </w:style>
  <w:style w:type="paragraph" w:styleId="13">
    <w:name w:val="footer"/>
    <w:basedOn w:val="1"/>
    <w:link w:val="37"/>
    <w:unhideWhenUsed/>
    <w:qFormat/>
    <w:uiPriority w:val="99"/>
    <w:pPr>
      <w:tabs>
        <w:tab w:val="center" w:pos="4153"/>
        <w:tab w:val="right" w:pos="8306"/>
      </w:tabs>
      <w:snapToGrid w:val="0"/>
      <w:jc w:val="left"/>
    </w:pPr>
    <w:rPr>
      <w:sz w:val="18"/>
      <w:szCs w:val="18"/>
    </w:rPr>
  </w:style>
  <w:style w:type="paragraph" w:styleId="14">
    <w:name w:val="header"/>
    <w:basedOn w:val="1"/>
    <w:link w:val="38"/>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toc 4"/>
    <w:basedOn w:val="1"/>
    <w:next w:val="1"/>
    <w:semiHidden/>
    <w:qFormat/>
    <w:uiPriority w:val="0"/>
    <w:pPr>
      <w:ind w:left="1260" w:leftChars="600"/>
    </w:pPr>
  </w:style>
  <w:style w:type="paragraph" w:styleId="17">
    <w:name w:val="toc 6"/>
    <w:basedOn w:val="1"/>
    <w:next w:val="1"/>
    <w:semiHidden/>
    <w:qFormat/>
    <w:uiPriority w:val="0"/>
    <w:pPr>
      <w:ind w:left="2100" w:leftChars="1000"/>
    </w:pPr>
  </w:style>
  <w:style w:type="paragraph" w:styleId="18">
    <w:name w:val="Body Text Indent 3"/>
    <w:basedOn w:val="1"/>
    <w:link w:val="39"/>
    <w:qFormat/>
    <w:uiPriority w:val="0"/>
    <w:pPr>
      <w:adjustRightInd w:val="0"/>
      <w:snapToGrid w:val="0"/>
      <w:ind w:firstLine="480" w:firstLineChars="200"/>
    </w:pPr>
    <w:rPr>
      <w:rFonts w:ascii="仿宋_GB2312" w:hAnsi="宋体" w:eastAsia="仿宋_GB2312" w:cs="Arial"/>
      <w:color w:val="000000"/>
      <w:sz w:val="24"/>
    </w:rPr>
  </w:style>
  <w:style w:type="paragraph" w:styleId="19">
    <w:name w:val="toc 2"/>
    <w:basedOn w:val="1"/>
    <w:next w:val="1"/>
    <w:semiHidden/>
    <w:qFormat/>
    <w:uiPriority w:val="0"/>
    <w:pPr>
      <w:ind w:left="420" w:leftChars="200"/>
    </w:pPr>
  </w:style>
  <w:style w:type="paragraph" w:styleId="20">
    <w:name w:val="toc 9"/>
    <w:basedOn w:val="1"/>
    <w:next w:val="1"/>
    <w:semiHidden/>
    <w:qFormat/>
    <w:uiPriority w:val="0"/>
    <w:pPr>
      <w:ind w:left="3360" w:leftChars="1600"/>
    </w:pPr>
  </w:style>
  <w:style w:type="paragraph" w:styleId="21">
    <w:name w:val="HTML Preformatted"/>
    <w:basedOn w:val="1"/>
    <w:link w:val="4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2">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23">
    <w:name w:val="annotation subject"/>
    <w:basedOn w:val="5"/>
    <w:next w:val="5"/>
    <w:link w:val="41"/>
    <w:qFormat/>
    <w:uiPriority w:val="0"/>
    <w:rPr>
      <w:b/>
      <w:bCs/>
    </w:rPr>
  </w:style>
  <w:style w:type="character" w:styleId="26">
    <w:name w:val="Strong"/>
    <w:qFormat/>
    <w:uiPriority w:val="0"/>
    <w:rPr>
      <w:b/>
      <w:bCs/>
    </w:rPr>
  </w:style>
  <w:style w:type="character" w:styleId="27">
    <w:name w:val="page number"/>
    <w:basedOn w:val="25"/>
    <w:qFormat/>
    <w:uiPriority w:val="0"/>
  </w:style>
  <w:style w:type="character" w:styleId="28">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9">
    <w:name w:val="Hyperlink"/>
    <w:qFormat/>
    <w:uiPriority w:val="0"/>
    <w:rPr>
      <w:color w:val="0000FF"/>
      <w:u w:val="single"/>
    </w:rPr>
  </w:style>
  <w:style w:type="character" w:styleId="30">
    <w:name w:val="annotation reference"/>
    <w:qFormat/>
    <w:uiPriority w:val="0"/>
    <w:rPr>
      <w:sz w:val="21"/>
      <w:szCs w:val="21"/>
    </w:rPr>
  </w:style>
  <w:style w:type="character" w:customStyle="1" w:styleId="31">
    <w:name w:val="标题 2 字符1"/>
    <w:basedOn w:val="25"/>
    <w:link w:val="2"/>
    <w:qFormat/>
    <w:uiPriority w:val="0"/>
    <w:rPr>
      <w:rFonts w:ascii="Arial" w:hAnsi="Arial" w:eastAsia="黑体" w:cs="Times New Roman"/>
      <w:b/>
      <w:sz w:val="32"/>
      <w:szCs w:val="20"/>
    </w:rPr>
  </w:style>
  <w:style w:type="character" w:customStyle="1" w:styleId="32">
    <w:name w:val="批注文字 字符1"/>
    <w:basedOn w:val="25"/>
    <w:link w:val="5"/>
    <w:qFormat/>
    <w:uiPriority w:val="0"/>
    <w:rPr>
      <w:rFonts w:ascii="Times New Roman" w:hAnsi="Times New Roman" w:eastAsia="宋体" w:cs="Times New Roman"/>
      <w:szCs w:val="24"/>
    </w:rPr>
  </w:style>
  <w:style w:type="character" w:customStyle="1" w:styleId="33">
    <w:name w:val="正文文本 字符1"/>
    <w:basedOn w:val="25"/>
    <w:link w:val="6"/>
    <w:qFormat/>
    <w:uiPriority w:val="0"/>
    <w:rPr>
      <w:rFonts w:ascii="仿宋_GB2312" w:hAnsi="Times New Roman" w:eastAsia="仿宋_GB2312" w:cs="Times New Roman"/>
      <w:color w:val="000000"/>
      <w:kern w:val="0"/>
      <w:sz w:val="24"/>
      <w:szCs w:val="28"/>
    </w:rPr>
  </w:style>
  <w:style w:type="character" w:customStyle="1" w:styleId="34">
    <w:name w:val="正文文本缩进 字符1"/>
    <w:basedOn w:val="25"/>
    <w:link w:val="7"/>
    <w:qFormat/>
    <w:uiPriority w:val="0"/>
    <w:rPr>
      <w:rFonts w:ascii="Times New Roman" w:hAnsi="Times New Roman" w:eastAsia="方正仿宋简体" w:cs="Times New Roman"/>
      <w:sz w:val="24"/>
      <w:szCs w:val="30"/>
    </w:rPr>
  </w:style>
  <w:style w:type="character" w:customStyle="1" w:styleId="35">
    <w:name w:val="正文文本缩进 2 字符1"/>
    <w:basedOn w:val="25"/>
    <w:link w:val="11"/>
    <w:qFormat/>
    <w:uiPriority w:val="0"/>
    <w:rPr>
      <w:rFonts w:ascii="宋体" w:hAnsi="宋体" w:eastAsia="宋体" w:cs="Times New Roman"/>
      <w:sz w:val="28"/>
      <w:szCs w:val="20"/>
    </w:rPr>
  </w:style>
  <w:style w:type="character" w:customStyle="1" w:styleId="36">
    <w:name w:val="批注框文本 字符1"/>
    <w:basedOn w:val="25"/>
    <w:link w:val="12"/>
    <w:semiHidden/>
    <w:qFormat/>
    <w:uiPriority w:val="0"/>
    <w:rPr>
      <w:rFonts w:ascii="Times New Roman" w:hAnsi="Times New Roman" w:eastAsia="宋体" w:cs="Times New Roman"/>
      <w:sz w:val="18"/>
      <w:szCs w:val="18"/>
    </w:rPr>
  </w:style>
  <w:style w:type="character" w:customStyle="1" w:styleId="37">
    <w:name w:val="页脚 字符1"/>
    <w:basedOn w:val="25"/>
    <w:link w:val="13"/>
    <w:qFormat/>
    <w:uiPriority w:val="99"/>
    <w:rPr>
      <w:rFonts w:ascii="Times New Roman" w:hAnsi="Times New Roman" w:eastAsia="宋体" w:cs="Times New Roman"/>
      <w:sz w:val="18"/>
      <w:szCs w:val="18"/>
    </w:rPr>
  </w:style>
  <w:style w:type="character" w:customStyle="1" w:styleId="38">
    <w:name w:val="页眉 字符1"/>
    <w:basedOn w:val="25"/>
    <w:link w:val="14"/>
    <w:qFormat/>
    <w:uiPriority w:val="0"/>
    <w:rPr>
      <w:rFonts w:ascii="Times New Roman" w:hAnsi="Times New Roman" w:eastAsia="宋体" w:cs="Times New Roman"/>
      <w:sz w:val="18"/>
      <w:szCs w:val="18"/>
    </w:rPr>
  </w:style>
  <w:style w:type="character" w:customStyle="1" w:styleId="39">
    <w:name w:val="正文文本缩进 3 字符1"/>
    <w:basedOn w:val="25"/>
    <w:link w:val="18"/>
    <w:qFormat/>
    <w:uiPriority w:val="0"/>
    <w:rPr>
      <w:rFonts w:ascii="仿宋_GB2312" w:hAnsi="宋体" w:eastAsia="仿宋_GB2312" w:cs="Arial"/>
      <w:color w:val="000000"/>
      <w:sz w:val="24"/>
      <w:szCs w:val="24"/>
    </w:rPr>
  </w:style>
  <w:style w:type="character" w:customStyle="1" w:styleId="40">
    <w:name w:val="HTML 预设格式 字符1"/>
    <w:basedOn w:val="25"/>
    <w:link w:val="21"/>
    <w:qFormat/>
    <w:uiPriority w:val="99"/>
    <w:rPr>
      <w:rFonts w:ascii="宋体" w:hAnsi="宋体" w:eastAsia="宋体" w:cs="宋体"/>
      <w:kern w:val="0"/>
      <w:sz w:val="24"/>
      <w:szCs w:val="24"/>
    </w:rPr>
  </w:style>
  <w:style w:type="character" w:customStyle="1" w:styleId="41">
    <w:name w:val="批注主题 字符1"/>
    <w:basedOn w:val="32"/>
    <w:link w:val="23"/>
    <w:qFormat/>
    <w:uiPriority w:val="0"/>
    <w:rPr>
      <w:rFonts w:ascii="Times New Roman" w:hAnsi="Times New Roman" w:eastAsia="宋体" w:cs="Times New Roman"/>
      <w:b/>
      <w:bCs/>
      <w:szCs w:val="24"/>
    </w:rPr>
  </w:style>
  <w:style w:type="character" w:customStyle="1" w:styleId="42">
    <w:name w:val="标题 2 字符"/>
    <w:basedOn w:val="25"/>
    <w:semiHidden/>
    <w:qFormat/>
    <w:uiPriority w:val="9"/>
    <w:rPr>
      <w:rFonts w:asciiTheme="majorHAnsi" w:hAnsiTheme="majorHAnsi" w:eastAsiaTheme="majorEastAsia" w:cstheme="majorBidi"/>
      <w:b/>
      <w:bCs/>
      <w:sz w:val="32"/>
      <w:szCs w:val="32"/>
    </w:rPr>
  </w:style>
  <w:style w:type="character" w:customStyle="1" w:styleId="43">
    <w:name w:val="页眉 字符"/>
    <w:basedOn w:val="25"/>
    <w:semiHidden/>
    <w:qFormat/>
    <w:uiPriority w:val="99"/>
    <w:rPr>
      <w:rFonts w:ascii="Times New Roman" w:hAnsi="Times New Roman" w:eastAsia="宋体" w:cs="Times New Roman"/>
      <w:sz w:val="18"/>
      <w:szCs w:val="18"/>
    </w:rPr>
  </w:style>
  <w:style w:type="character" w:customStyle="1" w:styleId="44">
    <w:name w:val="页脚 字符"/>
    <w:basedOn w:val="25"/>
    <w:semiHidden/>
    <w:qFormat/>
    <w:uiPriority w:val="99"/>
    <w:rPr>
      <w:rFonts w:ascii="Times New Roman" w:hAnsi="Times New Roman" w:eastAsia="宋体" w:cs="Times New Roman"/>
      <w:sz w:val="18"/>
      <w:szCs w:val="18"/>
    </w:rPr>
  </w:style>
  <w:style w:type="paragraph" w:customStyle="1" w:styleId="45">
    <w:name w:val="wz1"/>
    <w:basedOn w:val="1"/>
    <w:qFormat/>
    <w:uiPriority w:val="0"/>
    <w:pPr>
      <w:widowControl/>
      <w:spacing w:before="100" w:beforeAutospacing="1" w:after="100" w:afterAutospacing="1" w:line="245" w:lineRule="atLeast"/>
      <w:jc w:val="left"/>
    </w:pPr>
    <w:rPr>
      <w:rFonts w:ascii="Arial Unicode MS" w:hAnsi="Arial Unicode MS" w:eastAsia="Arial Unicode MS" w:cs="Arial Unicode MS"/>
      <w:color w:val="CC0000"/>
      <w:kern w:val="0"/>
      <w:sz w:val="22"/>
      <w:szCs w:val="22"/>
    </w:rPr>
  </w:style>
  <w:style w:type="character" w:customStyle="1" w:styleId="46">
    <w:name w:val="正文文本 字符"/>
    <w:basedOn w:val="25"/>
    <w:semiHidden/>
    <w:qFormat/>
    <w:uiPriority w:val="99"/>
    <w:rPr>
      <w:rFonts w:ascii="Times New Roman" w:hAnsi="Times New Roman" w:eastAsia="宋体" w:cs="Times New Roman"/>
      <w:szCs w:val="24"/>
    </w:rPr>
  </w:style>
  <w:style w:type="character" w:customStyle="1" w:styleId="47">
    <w:name w:val="read"/>
    <w:basedOn w:val="25"/>
    <w:qFormat/>
    <w:uiPriority w:val="0"/>
  </w:style>
  <w:style w:type="character" w:customStyle="1" w:styleId="48">
    <w:name w:val="正文文本缩进 字符"/>
    <w:basedOn w:val="25"/>
    <w:semiHidden/>
    <w:qFormat/>
    <w:uiPriority w:val="99"/>
    <w:rPr>
      <w:rFonts w:ascii="Times New Roman" w:hAnsi="Times New Roman" w:eastAsia="宋体" w:cs="Times New Roman"/>
      <w:szCs w:val="24"/>
    </w:rPr>
  </w:style>
  <w:style w:type="character" w:customStyle="1" w:styleId="49">
    <w:name w:val="正文文本缩进 2 字符"/>
    <w:basedOn w:val="25"/>
    <w:semiHidden/>
    <w:qFormat/>
    <w:uiPriority w:val="99"/>
    <w:rPr>
      <w:rFonts w:ascii="Times New Roman" w:hAnsi="Times New Roman" w:eastAsia="宋体" w:cs="Times New Roman"/>
      <w:szCs w:val="24"/>
    </w:rPr>
  </w:style>
  <w:style w:type="character" w:customStyle="1" w:styleId="50">
    <w:name w:val="正文文本缩进 3 字符"/>
    <w:basedOn w:val="25"/>
    <w:semiHidden/>
    <w:qFormat/>
    <w:uiPriority w:val="99"/>
    <w:rPr>
      <w:rFonts w:ascii="Times New Roman" w:hAnsi="Times New Roman" w:eastAsia="宋体" w:cs="Times New Roman"/>
      <w:sz w:val="16"/>
      <w:szCs w:val="16"/>
    </w:rPr>
  </w:style>
  <w:style w:type="character" w:customStyle="1" w:styleId="51">
    <w:name w:val="批注框文本 字符"/>
    <w:basedOn w:val="25"/>
    <w:semiHidden/>
    <w:qFormat/>
    <w:uiPriority w:val="99"/>
    <w:rPr>
      <w:rFonts w:ascii="Times New Roman" w:hAnsi="Times New Roman" w:eastAsia="宋体" w:cs="Times New Roman"/>
      <w:sz w:val="18"/>
      <w:szCs w:val="18"/>
    </w:rPr>
  </w:style>
  <w:style w:type="paragraph" w:customStyle="1" w:styleId="52">
    <w:name w:val="Char"/>
    <w:basedOn w:val="1"/>
    <w:qFormat/>
    <w:uiPriority w:val="0"/>
  </w:style>
  <w:style w:type="paragraph" w:customStyle="1" w:styleId="53">
    <w:name w:val="Char1"/>
    <w:basedOn w:val="1"/>
    <w:qFormat/>
    <w:uiPriority w:val="0"/>
    <w:pPr>
      <w:tabs>
        <w:tab w:val="left" w:pos="832"/>
      </w:tabs>
      <w:ind w:left="832" w:hanging="420"/>
      <w:jc w:val="center"/>
    </w:pPr>
    <w:rPr>
      <w:rFonts w:ascii="楷体_GB2312" w:eastAsia="楷体_GB2312"/>
      <w:b/>
      <w:color w:val="000080"/>
      <w:sz w:val="30"/>
      <w:szCs w:val="30"/>
    </w:rPr>
  </w:style>
  <w:style w:type="paragraph" w:customStyle="1" w:styleId="54">
    <w:name w:val="Char Char Char"/>
    <w:basedOn w:val="1"/>
    <w:qFormat/>
    <w:uiPriority w:val="0"/>
  </w:style>
  <w:style w:type="character" w:customStyle="1" w:styleId="55">
    <w:name w:val="批注文字 字符"/>
    <w:basedOn w:val="25"/>
    <w:qFormat/>
    <w:uiPriority w:val="0"/>
    <w:rPr>
      <w:rFonts w:ascii="Times New Roman" w:hAnsi="Times New Roman" w:eastAsia="宋体" w:cs="Times New Roman"/>
      <w:szCs w:val="24"/>
    </w:rPr>
  </w:style>
  <w:style w:type="paragraph" w:customStyle="1" w:styleId="56">
    <w:name w:val="Char Char Char Char Char Char Char1 Char Char Char Char Char Char"/>
    <w:basedOn w:val="1"/>
    <w:qFormat/>
    <w:uiPriority w:val="0"/>
  </w:style>
  <w:style w:type="paragraph" w:customStyle="1" w:styleId="57">
    <w:name w:val="Char Char"/>
    <w:basedOn w:val="1"/>
    <w:qFormat/>
    <w:uiPriority w:val="0"/>
    <w:rPr>
      <w:szCs w:val="20"/>
    </w:rPr>
  </w:style>
  <w:style w:type="character" w:customStyle="1" w:styleId="58">
    <w:name w:val="HTML 预设格式 字符"/>
    <w:basedOn w:val="25"/>
    <w:semiHidden/>
    <w:qFormat/>
    <w:uiPriority w:val="99"/>
    <w:rPr>
      <w:rFonts w:ascii="Courier New" w:hAnsi="Courier New" w:eastAsia="宋体" w:cs="Courier New"/>
      <w:sz w:val="20"/>
      <w:szCs w:val="20"/>
    </w:rPr>
  </w:style>
  <w:style w:type="character" w:customStyle="1" w:styleId="59">
    <w:name w:val="批注主题 字符"/>
    <w:basedOn w:val="55"/>
    <w:semiHidden/>
    <w:qFormat/>
    <w:uiPriority w:val="99"/>
    <w:rPr>
      <w:rFonts w:ascii="Times New Roman" w:hAnsi="Times New Roman" w:eastAsia="宋体" w:cs="Times New Roman"/>
      <w:b/>
      <w:bCs/>
      <w:szCs w:val="24"/>
    </w:rPr>
  </w:style>
  <w:style w:type="paragraph" w:customStyle="1" w:styleId="60">
    <w:name w:val="_Style 58"/>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62">
    <w:name w:val="批注文字 Char2"/>
    <w:qFormat/>
    <w:uiPriority w:val="0"/>
    <w:rPr>
      <w:sz w:val="24"/>
      <w:szCs w:val="24"/>
    </w:rPr>
  </w:style>
  <w:style w:type="paragraph" w:customStyle="1" w:styleId="6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65">
    <w:name w:val="批注文字 Char"/>
    <w:qFormat/>
    <w:uiPriority w:val="0"/>
    <w:rPr>
      <w:rFonts w:ascii="Times New Roman" w:hAnsi="Times New Roman" w:eastAsia="宋体"/>
      <w:kern w:val="2"/>
      <w:sz w:val="21"/>
      <w:szCs w:val="24"/>
    </w:rPr>
  </w:style>
  <w:style w:type="paragraph" w:customStyle="1" w:styleId="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7">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D1779-F5AA-484D-8A49-75451638E203}">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38</Pages>
  <Words>5147</Words>
  <Characters>29342</Characters>
  <Lines>244</Lines>
  <Paragraphs>68</Paragraphs>
  <TotalTime>44</TotalTime>
  <ScaleCrop>false</ScaleCrop>
  <LinksUpToDate>false</LinksUpToDate>
  <CharactersWithSpaces>34421</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2025-07-09T04:16:00Z</dcterms:created>
  <dc:creator>张玮</dc:creator>
  <cp:lastModifiedBy>李逸天</cp:lastModifiedBy>
  <cp:lastPrinted>2025-07-09T07:12:00Z</cp:lastPrinted>
  <dcterms:modified xsi:type="dcterms:W3CDTF">2025-09-28T10:00:07Z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43A0CB83DF024568BF9948C5A578D763</vt:lpwstr>
  </property>
</Properties>
</file>